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0" w:rsidRDefault="0078526B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-263525</wp:posOffset>
            </wp:positionV>
            <wp:extent cx="1323975" cy="1181100"/>
            <wp:effectExtent l="1905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AE4AC9" w:rsidRPr="008F3EC2" w:rsidRDefault="00DA5DB8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sz w:val="32"/>
          <w:szCs w:val="32"/>
        </w:rPr>
        <w:t xml:space="preserve"> </w:t>
      </w:r>
    </w:p>
    <w:p w:rsid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180CCE" w:rsidRDefault="00180CCE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56"/>
          <w:szCs w:val="5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  <w:t xml:space="preserve">Reporting </w:t>
      </w:r>
      <w:r w:rsidR="00F56FAF"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  <w:t>Solvabilité II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Note </w:t>
      </w:r>
      <w:r w:rsidR="00B009A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explicative 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Déclaration des </w:t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instances XBRL : préfixe des namespaces</w:t>
      </w:r>
      <w:r w:rsidR="006806A8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 pour dimension typée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340" w:after="0" w:line="440" w:lineRule="exact"/>
        <w:jc w:val="center"/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</w:pPr>
      <w:r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Mai</w:t>
      </w:r>
      <w:r w:rsidR="008D20FA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 xml:space="preserve"> </w:t>
      </w:r>
      <w:r w:rsidRPr="007C0EB0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201</w:t>
      </w:r>
      <w:r w:rsidR="006806A8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6</w:t>
      </w: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180CCE" w:rsidRDefault="00180CCE">
      <w:pPr>
        <w:spacing w:before="0" w:after="0"/>
        <w:rPr>
          <w:rFonts w:ascii="Univers" w:eastAsia="Times New Roman" w:hAnsi="Univers"/>
          <w:sz w:val="22"/>
          <w:szCs w:val="20"/>
          <w:lang w:eastAsia="fr-FR"/>
        </w:rPr>
      </w:pPr>
      <w:r>
        <w:rPr>
          <w:rFonts w:ascii="Univers" w:eastAsia="Times New Roman" w:hAnsi="Univers"/>
          <w:sz w:val="22"/>
          <w:szCs w:val="20"/>
          <w:lang w:eastAsia="fr-FR"/>
        </w:rPr>
        <w:br w:type="page"/>
      </w:r>
    </w:p>
    <w:p w:rsidR="00180CCE" w:rsidRPr="00180CCE" w:rsidRDefault="00180CCE" w:rsidP="00180CCE">
      <w:pPr>
        <w:spacing w:before="0" w:after="0"/>
        <w:jc w:val="both"/>
        <w:rPr>
          <w:rFonts w:ascii="Univers" w:eastAsia="Times New Roman" w:hAnsi="Univers"/>
          <w:sz w:val="20"/>
          <w:szCs w:val="20"/>
          <w:lang w:eastAsia="fr-FR"/>
        </w:rPr>
        <w:sectPr w:rsidR="00180CCE" w:rsidRPr="00180CCE" w:rsidSect="00B11EAC">
          <w:footerReference w:type="default" r:id="rId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A16DF1" w:rsidRPr="00180CCE" w:rsidRDefault="00A16DF1" w:rsidP="00A16DF1">
      <w:pPr>
        <w:keepNext/>
        <w:shd w:val="pct15" w:color="auto" w:fill="FFFFFF"/>
        <w:spacing w:before="480" w:after="120" w:line="280" w:lineRule="exact"/>
        <w:jc w:val="both"/>
        <w:outlineLvl w:val="0"/>
        <w:rPr>
          <w:rFonts w:ascii="Times New Roman" w:eastAsia="Times New Roman" w:hAnsi="Times New Roman"/>
          <w:b/>
          <w:sz w:val="32"/>
          <w:szCs w:val="20"/>
          <w:lang w:eastAsia="fr-FR"/>
        </w:rPr>
      </w:pPr>
      <w:r w:rsidRPr="00180CCE">
        <w:rPr>
          <w:rFonts w:ascii="Times New Roman" w:eastAsia="Times New Roman" w:hAnsi="Times New Roman"/>
          <w:b/>
          <w:sz w:val="32"/>
          <w:szCs w:val="20"/>
          <w:lang w:eastAsia="fr-FR"/>
        </w:rPr>
        <w:lastRenderedPageBreak/>
        <w:t>N</w:t>
      </w:r>
      <w:r>
        <w:rPr>
          <w:rFonts w:ascii="Times New Roman" w:eastAsia="Times New Roman" w:hAnsi="Times New Roman"/>
          <w:b/>
          <w:sz w:val="32"/>
          <w:szCs w:val="20"/>
          <w:lang w:eastAsia="fr-FR"/>
        </w:rPr>
        <w:t>ote</w:t>
      </w:r>
      <w:r w:rsidRPr="00180CCE">
        <w:rPr>
          <w:rFonts w:ascii="Times New Roman" w:eastAsia="Times New Roman" w:hAnsi="Times New Roman"/>
          <w:b/>
          <w:sz w:val="32"/>
          <w:szCs w:val="20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32"/>
          <w:szCs w:val="20"/>
          <w:lang w:eastAsia="fr-FR"/>
        </w:rPr>
        <w:t>explicative</w:t>
      </w:r>
    </w:p>
    <w:p w:rsidR="00914CEC" w:rsidRDefault="00914CEC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F74294" w:rsidRDefault="00F74294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F74294" w:rsidRDefault="00F74294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914CEC" w:rsidRPr="00180CCE" w:rsidRDefault="00914CEC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8D20FA" w:rsidRDefault="008D20FA" w:rsidP="005B0E2B">
      <w:pPr>
        <w:spacing w:before="0" w:after="12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Le traitement des instances XBRL </w:t>
      </w:r>
      <w:r w:rsidR="005B0E2B">
        <w:rPr>
          <w:rFonts w:ascii="Times New Roman" w:eastAsia="Times New Roman" w:hAnsi="Times New Roman"/>
          <w:sz w:val="22"/>
          <w:szCs w:val="22"/>
          <w:lang w:eastAsia="fr-FR"/>
        </w:rPr>
        <w:t xml:space="preserve">au sein </w:t>
      </w:r>
      <w:r>
        <w:rPr>
          <w:rFonts w:ascii="Times New Roman" w:eastAsia="Times New Roman" w:hAnsi="Times New Roman"/>
          <w:sz w:val="22"/>
          <w:szCs w:val="22"/>
          <w:lang w:eastAsia="fr-FR"/>
        </w:rPr>
        <w:t>de l’application SURFI présente une anomalie pour les instances dans lesquelles :</w:t>
      </w:r>
    </w:p>
    <w:p w:rsidR="008D20FA" w:rsidRDefault="008D20FA" w:rsidP="008D20FA">
      <w:pPr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un élément porteur de valeur de dimension typée est à « nil » (i.e.  avec un attribut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fr-FR"/>
        </w:rPr>
        <w:t>xsi:nil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 à "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fr-FR"/>
        </w:rPr>
        <w:t>true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fr-FR"/>
        </w:rPr>
        <w:t>") ;</w:t>
      </w:r>
    </w:p>
    <w:p w:rsidR="008D20FA" w:rsidRDefault="008D20FA" w:rsidP="008D20FA">
      <w:pPr>
        <w:numPr>
          <w:ilvl w:val="0"/>
          <w:numId w:val="8"/>
        </w:numPr>
        <w:spacing w:before="0" w:after="0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>le même élément est associé à un espace de nommage par défaut (i.e. sans préfixe).</w:t>
      </w:r>
    </w:p>
    <w:p w:rsidR="008D20FA" w:rsidRDefault="008D20FA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1C11D2" w:rsidRDefault="008D20FA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Dans ce cas, </w:t>
      </w:r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 xml:space="preserve">les données </w:t>
      </w:r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sont bien </w:t>
      </w:r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>intégrées en base,</w:t>
      </w:r>
      <w:r w:rsidR="00D63BF9">
        <w:rPr>
          <w:rFonts w:ascii="Times New Roman" w:eastAsia="Times New Roman" w:hAnsi="Times New Roman"/>
          <w:sz w:val="22"/>
          <w:szCs w:val="22"/>
          <w:lang w:eastAsia="fr-FR"/>
        </w:rPr>
        <w:t xml:space="preserve"> </w:t>
      </w:r>
      <w:r w:rsidR="002A5F00">
        <w:rPr>
          <w:rFonts w:ascii="Times New Roman" w:eastAsia="Times New Roman" w:hAnsi="Times New Roman"/>
          <w:sz w:val="22"/>
          <w:szCs w:val="22"/>
          <w:lang w:eastAsia="fr-FR"/>
        </w:rPr>
        <w:t>m</w:t>
      </w:r>
      <w:bookmarkStart w:id="0" w:name="_GoBack"/>
      <w:bookmarkEnd w:id="0"/>
      <w:r w:rsidR="002A5F00">
        <w:rPr>
          <w:rFonts w:ascii="Times New Roman" w:eastAsia="Times New Roman" w:hAnsi="Times New Roman"/>
          <w:sz w:val="22"/>
          <w:szCs w:val="22"/>
          <w:lang w:eastAsia="fr-FR"/>
        </w:rPr>
        <w:t xml:space="preserve">ais </w:t>
      </w:r>
      <w:r>
        <w:rPr>
          <w:rFonts w:ascii="Times New Roman" w:eastAsia="Times New Roman" w:hAnsi="Times New Roman"/>
          <w:sz w:val="22"/>
          <w:szCs w:val="22"/>
          <w:lang w:eastAsia="fr-FR"/>
        </w:rPr>
        <w:t>le compte-rendu de collecte (CRC) ne peut pas être restitué au</w:t>
      </w:r>
      <w:r w:rsidR="00D63BF9">
        <w:rPr>
          <w:rFonts w:ascii="Times New Roman" w:eastAsia="Times New Roman" w:hAnsi="Times New Roman"/>
          <w:sz w:val="22"/>
          <w:szCs w:val="22"/>
          <w:lang w:eastAsia="fr-FR"/>
        </w:rPr>
        <w:t xml:space="preserve"> format Excel </w:t>
      </w:r>
      <w:r>
        <w:rPr>
          <w:rFonts w:ascii="Times New Roman" w:eastAsia="Times New Roman" w:hAnsi="Times New Roman"/>
          <w:sz w:val="22"/>
          <w:szCs w:val="22"/>
          <w:lang w:eastAsia="fr-FR"/>
        </w:rPr>
        <w:t>(</w:t>
      </w:r>
      <w:r w:rsidR="00D63BF9">
        <w:rPr>
          <w:rFonts w:ascii="Times New Roman" w:eastAsia="Times New Roman" w:hAnsi="Times New Roman"/>
          <w:sz w:val="22"/>
          <w:szCs w:val="22"/>
          <w:lang w:eastAsia="fr-FR"/>
        </w:rPr>
        <w:t>format qui facilite la lecture des déclarations pour les utilisateurs finaux</w:t>
      </w:r>
      <w:r>
        <w:rPr>
          <w:rFonts w:ascii="Times New Roman" w:eastAsia="Times New Roman" w:hAnsi="Times New Roman"/>
          <w:sz w:val="22"/>
          <w:szCs w:val="22"/>
          <w:lang w:eastAsia="fr-FR"/>
        </w:rPr>
        <w:t>)</w:t>
      </w:r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>.</w:t>
      </w:r>
    </w:p>
    <w:p w:rsidR="00180CCE" w:rsidRPr="00180CCE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  <w:r w:rsidRPr="00180CCE">
        <w:rPr>
          <w:rFonts w:ascii="Times New Roman" w:eastAsia="Times New Roman" w:hAnsi="Times New Roman"/>
          <w:bCs/>
          <w:sz w:val="22"/>
          <w:szCs w:val="22"/>
          <w:lang w:eastAsia="fr-FR"/>
        </w:rPr>
        <w:t xml:space="preserve"> </w:t>
      </w:r>
    </w:p>
    <w:p w:rsidR="001C11D2" w:rsidRDefault="001C11D2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/>
          <w:bCs/>
          <w:sz w:val="22"/>
          <w:szCs w:val="22"/>
          <w:lang w:eastAsia="fr-FR"/>
        </w:rPr>
        <w:t xml:space="preserve">Dans l’attente du déploiement d’un correctif et afin de permettre le traitement complet des remises réglementaires attendues, </w:t>
      </w:r>
      <w:r w:rsidR="0046132B">
        <w:rPr>
          <w:rFonts w:ascii="Times New Roman" w:eastAsia="Times New Roman" w:hAnsi="Times New Roman"/>
          <w:bCs/>
          <w:sz w:val="22"/>
          <w:szCs w:val="22"/>
          <w:lang w:eastAsia="fr-FR"/>
        </w:rPr>
        <w:t xml:space="preserve">il est demandé aux remettants de mettre en place </w:t>
      </w:r>
      <w:r>
        <w:rPr>
          <w:rFonts w:ascii="Times New Roman" w:eastAsia="Times New Roman" w:hAnsi="Times New Roman"/>
          <w:bCs/>
          <w:sz w:val="22"/>
          <w:szCs w:val="22"/>
          <w:lang w:eastAsia="fr-FR"/>
        </w:rPr>
        <w:t>une solution de contournement.</w:t>
      </w:r>
    </w:p>
    <w:p w:rsidR="001C11D2" w:rsidRDefault="001C11D2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F74294" w:rsidRDefault="00F74294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6E4A8E" w:rsidRPr="006E4A8E" w:rsidRDefault="001C11D2" w:rsidP="002112F6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  <w:lang w:eastAsia="fr-FR"/>
        </w:rPr>
        <w:t>Ainsi, les organismes doivent respecter le principe suivant dans les instances déclarées </w:t>
      </w:r>
      <w:r w:rsidRPr="006E4A8E">
        <w:rPr>
          <w:rFonts w:ascii="Times New Roman" w:eastAsia="Times New Roman" w:hAnsi="Times New Roman"/>
          <w:bCs/>
          <w:sz w:val="22"/>
          <w:szCs w:val="22"/>
          <w:lang w:eastAsia="fr-FR"/>
        </w:rPr>
        <w:t>:</w:t>
      </w:r>
      <w:r w:rsidR="006E4A8E" w:rsidRPr="006E4A8E">
        <w:rPr>
          <w:b/>
          <w:bCs/>
          <w:color w:val="1F497D"/>
          <w:sz w:val="22"/>
          <w:szCs w:val="22"/>
        </w:rPr>
        <w:t xml:space="preserve"> </w:t>
      </w:r>
      <w:r w:rsidR="006E4A8E" w:rsidRPr="006E4A8E">
        <w:rPr>
          <w:rFonts w:ascii="Times New Roman" w:hAnsi="Times New Roman"/>
          <w:b/>
          <w:bCs/>
          <w:sz w:val="22"/>
          <w:szCs w:val="22"/>
        </w:rPr>
        <w:t xml:space="preserve">les préfixes des </w:t>
      </w:r>
      <w:proofErr w:type="spellStart"/>
      <w:r w:rsidR="006E4A8E" w:rsidRPr="006E4A8E">
        <w:rPr>
          <w:rFonts w:ascii="Times New Roman" w:hAnsi="Times New Roman"/>
          <w:b/>
          <w:bCs/>
          <w:sz w:val="22"/>
          <w:szCs w:val="22"/>
        </w:rPr>
        <w:t>namespaces</w:t>
      </w:r>
      <w:proofErr w:type="spellEnd"/>
      <w:r w:rsidR="006E4A8E" w:rsidRPr="006E4A8E">
        <w:rPr>
          <w:rFonts w:ascii="Times New Roman" w:hAnsi="Times New Roman"/>
          <w:b/>
          <w:bCs/>
          <w:sz w:val="22"/>
          <w:szCs w:val="22"/>
        </w:rPr>
        <w:t xml:space="preserve"> doivent être définis pour les balises portant sur les valeurs de dimensions</w:t>
      </w:r>
      <w:r w:rsidR="000150FA">
        <w:rPr>
          <w:rFonts w:ascii="Times New Roman" w:hAnsi="Times New Roman"/>
          <w:b/>
          <w:bCs/>
          <w:sz w:val="22"/>
          <w:szCs w:val="22"/>
        </w:rPr>
        <w:t>, lorsque des valeurs nulles sont déclarées</w:t>
      </w:r>
      <w:r w:rsidR="006E4A8E" w:rsidRPr="006E4A8E">
        <w:rPr>
          <w:rFonts w:ascii="Times New Roman" w:hAnsi="Times New Roman"/>
          <w:sz w:val="22"/>
          <w:szCs w:val="22"/>
        </w:rPr>
        <w:t>.</w:t>
      </w:r>
    </w:p>
    <w:p w:rsidR="006E4A8E" w:rsidRDefault="006E4A8E" w:rsidP="006E4A8E">
      <w:pPr>
        <w:rPr>
          <w:color w:val="1F497D"/>
        </w:rPr>
      </w:pPr>
    </w:p>
    <w:p w:rsidR="00F74294" w:rsidRDefault="00F74294" w:rsidP="006E4A8E">
      <w:pPr>
        <w:rPr>
          <w:color w:val="1F497D"/>
        </w:rPr>
      </w:pPr>
    </w:p>
    <w:p w:rsidR="006E4A8E" w:rsidRPr="006E4A8E" w:rsidRDefault="006E4A8E" w:rsidP="006E4A8E">
      <w:pPr>
        <w:rPr>
          <w:rFonts w:ascii="Times New Roman" w:hAnsi="Times New Roman"/>
          <w:sz w:val="22"/>
          <w:szCs w:val="22"/>
        </w:rPr>
      </w:pPr>
      <w:r w:rsidRPr="006E4A8E">
        <w:rPr>
          <w:rFonts w:ascii="Times New Roman" w:hAnsi="Times New Roman"/>
          <w:sz w:val="22"/>
          <w:szCs w:val="22"/>
        </w:rPr>
        <w:t>Ci-dessous les exemples du cas non traité et celui du cas traité par SURFI</w:t>
      </w:r>
      <w:r w:rsidR="00B52C8F">
        <w:rPr>
          <w:rFonts w:ascii="Times New Roman" w:hAnsi="Times New Roman"/>
          <w:sz w:val="22"/>
          <w:szCs w:val="22"/>
        </w:rPr>
        <w:t> :</w:t>
      </w:r>
    </w:p>
    <w:p w:rsidR="00F74294" w:rsidRDefault="00F74294" w:rsidP="006E4A8E">
      <w:pPr>
        <w:rPr>
          <w:color w:val="1F497D"/>
        </w:rPr>
      </w:pPr>
    </w:p>
    <w:p w:rsidR="00F74294" w:rsidRDefault="00F74294" w:rsidP="006E4A8E">
      <w:pPr>
        <w:rPr>
          <w:color w:val="1F497D"/>
        </w:rPr>
      </w:pPr>
    </w:p>
    <w:p w:rsidR="006E4A8E" w:rsidRDefault="006E4A8E" w:rsidP="006E4A8E">
      <w:pPr>
        <w:rPr>
          <w:rFonts w:asciiTheme="minorHAnsi" w:hAnsiTheme="minorHAnsi" w:cstheme="minorHAnsi"/>
          <w:i/>
          <w:sz w:val="22"/>
          <w:szCs w:val="22"/>
        </w:rPr>
      </w:pPr>
      <w:r w:rsidRPr="000B6A4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Non traité </w:t>
      </w:r>
      <w:r w:rsidR="0046132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correctement </w:t>
      </w:r>
      <w:r w:rsidRPr="000B6A4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par </w:t>
      </w:r>
      <w:r w:rsidR="0046132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l’application </w:t>
      </w:r>
      <w:r w:rsidRPr="000B6A4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SURFI </w:t>
      </w:r>
      <w:r w:rsidRPr="000B6A43">
        <w:rPr>
          <w:rFonts w:asciiTheme="minorHAnsi" w:hAnsiTheme="minorHAnsi" w:cstheme="minorHAnsi"/>
          <w:i/>
          <w:sz w:val="22"/>
          <w:szCs w:val="22"/>
        </w:rPr>
        <w:t>:</w:t>
      </w:r>
    </w:p>
    <w:p w:rsidR="00F74294" w:rsidRPr="000B6A43" w:rsidRDefault="00F74294" w:rsidP="006E4A8E">
      <w:pPr>
        <w:rPr>
          <w:rFonts w:asciiTheme="minorHAnsi" w:hAnsiTheme="minorHAnsi" w:cstheme="minorHAnsi"/>
          <w:i/>
          <w:sz w:val="22"/>
          <w:szCs w:val="22"/>
        </w:rPr>
      </w:pP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par défaut défini pour les balises portant les valeurs de dimension : (</w:t>
      </w:r>
      <w:proofErr w:type="spellStart"/>
      <w:r w:rsidRPr="007D6BC8">
        <w:rPr>
          <w:rFonts w:ascii="Times New Roman" w:hAnsi="Times New Roman"/>
          <w:sz w:val="22"/>
          <w:szCs w:val="22"/>
        </w:rPr>
        <w:t>xmlns</w:t>
      </w:r>
      <w:proofErr w:type="spellEnd"/>
      <w:r w:rsidRPr="007D6BC8">
        <w:rPr>
          <w:rFonts w:ascii="Times New Roman" w:hAnsi="Times New Roman"/>
          <w:sz w:val="22"/>
          <w:szCs w:val="22"/>
        </w:rPr>
        <w:t>=http://eiopa.europa.eu/xbrl/s2c/dict/typ)</w:t>
      </w:r>
    </w:p>
    <w:p w:rsidR="00F74294" w:rsidRPr="007D6BC8" w:rsidRDefault="00F74294" w:rsidP="006E4A8E">
      <w:pPr>
        <w:rPr>
          <w:rFonts w:ascii="Times New Roman" w:hAnsi="Times New Roman"/>
          <w:sz w:val="22"/>
          <w:szCs w:val="22"/>
        </w:rPr>
      </w:pPr>
    </w:p>
    <w:p w:rsidR="006E4A8E" w:rsidRPr="007D6BC8" w:rsidRDefault="006E4A8E" w:rsidP="00EB7C3A">
      <w:pPr>
        <w:ind w:left="357" w:firstLine="709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b/>
          <w:bCs/>
          <w:sz w:val="22"/>
          <w:szCs w:val="22"/>
          <w:u w:val="single"/>
        </w:rPr>
        <w:t>Exemple</w:t>
      </w:r>
      <w:r w:rsidRPr="007D6BC8">
        <w:rPr>
          <w:rFonts w:ascii="Times New Roman" w:hAnsi="Times New Roman"/>
          <w:sz w:val="22"/>
          <w:szCs w:val="22"/>
        </w:rPr>
        <w:t> :</w:t>
      </w:r>
    </w:p>
    <w:p w:rsidR="00A22C21" w:rsidRPr="00914CEC" w:rsidRDefault="00A22C21" w:rsidP="0023006C">
      <w:pPr>
        <w:ind w:firstLine="720"/>
        <w:rPr>
          <w:rFonts w:ascii="Times New Roman" w:hAnsi="Times New Roman"/>
          <w:sz w:val="22"/>
          <w:szCs w:val="22"/>
        </w:rPr>
      </w:pPr>
      <w:r w:rsidRPr="00914CEC">
        <w:rPr>
          <w:rFonts w:ascii="Times New Roman" w:hAnsi="Times New Roman"/>
          <w:sz w:val="22"/>
          <w:szCs w:val="22"/>
        </w:rPr>
        <w:t>&lt;</w:t>
      </w:r>
      <w:proofErr w:type="spellStart"/>
      <w:r w:rsidRPr="00914CEC">
        <w:rPr>
          <w:rFonts w:ascii="Times New Roman" w:hAnsi="Times New Roman"/>
          <w:sz w:val="22"/>
          <w:szCs w:val="22"/>
        </w:rPr>
        <w:t>xbrldi:typedMember</w:t>
      </w:r>
      <w:proofErr w:type="spellEnd"/>
      <w:r w:rsidRPr="00914CEC">
        <w:rPr>
          <w:rFonts w:ascii="Times New Roman" w:hAnsi="Times New Roman"/>
          <w:sz w:val="22"/>
          <w:szCs w:val="22"/>
        </w:rPr>
        <w:t xml:space="preserve"> dimension="s2c_dim:MP"&gt;</w:t>
      </w:r>
    </w:p>
    <w:p w:rsidR="005B0E2B" w:rsidRPr="00914CEC" w:rsidRDefault="00A22C21" w:rsidP="00A22C21">
      <w:pPr>
        <w:rPr>
          <w:rFonts w:ascii="Times New Roman" w:hAnsi="Times New Roman"/>
          <w:sz w:val="22"/>
          <w:szCs w:val="22"/>
        </w:rPr>
      </w:pPr>
      <w:r w:rsidRPr="00914CEC">
        <w:rPr>
          <w:rFonts w:ascii="Times New Roman" w:hAnsi="Times New Roman"/>
          <w:sz w:val="22"/>
          <w:szCs w:val="22"/>
        </w:rPr>
        <w:t xml:space="preserve">              </w:t>
      </w:r>
      <w:r w:rsidR="005B0E2B" w:rsidRPr="00914CEC">
        <w:rPr>
          <w:rFonts w:ascii="Times New Roman" w:hAnsi="Times New Roman"/>
          <w:sz w:val="22"/>
          <w:szCs w:val="22"/>
        </w:rPr>
        <w:t>&lt;ID</w:t>
      </w:r>
      <w:r w:rsidR="002112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0E2B" w:rsidRPr="00914CEC">
        <w:rPr>
          <w:rFonts w:ascii="Times New Roman" w:hAnsi="Times New Roman"/>
          <w:sz w:val="22"/>
          <w:szCs w:val="22"/>
        </w:rPr>
        <w:t>xsi:nil</w:t>
      </w:r>
      <w:proofErr w:type="spellEnd"/>
      <w:r w:rsidR="005B0E2B" w:rsidRPr="00914CEC">
        <w:rPr>
          <w:rFonts w:ascii="Times New Roman" w:hAnsi="Times New Roman"/>
          <w:sz w:val="22"/>
          <w:szCs w:val="22"/>
        </w:rPr>
        <w:t>="</w:t>
      </w:r>
      <w:proofErr w:type="spellStart"/>
      <w:r w:rsidR="005B0E2B" w:rsidRPr="00914CEC">
        <w:rPr>
          <w:rFonts w:ascii="Times New Roman" w:hAnsi="Times New Roman"/>
          <w:sz w:val="22"/>
          <w:szCs w:val="22"/>
        </w:rPr>
        <w:t>true</w:t>
      </w:r>
      <w:proofErr w:type="spellEnd"/>
      <w:r w:rsidR="005B0E2B" w:rsidRPr="00914CEC">
        <w:rPr>
          <w:rFonts w:ascii="Times New Roman" w:hAnsi="Times New Roman"/>
          <w:sz w:val="22"/>
          <w:szCs w:val="22"/>
        </w:rPr>
        <w:t>"&gt;&lt;/ID&gt;</w:t>
      </w:r>
    </w:p>
    <w:p w:rsidR="006E4A8E" w:rsidRDefault="00A22C21" w:rsidP="00A22C21">
      <w:pPr>
        <w:rPr>
          <w:rFonts w:ascii="Times New Roman" w:hAnsi="Times New Roman"/>
          <w:sz w:val="22"/>
          <w:szCs w:val="22"/>
        </w:rPr>
      </w:pPr>
      <w:r w:rsidRPr="00914CEC">
        <w:rPr>
          <w:rFonts w:ascii="Times New Roman" w:hAnsi="Times New Roman"/>
          <w:sz w:val="22"/>
          <w:szCs w:val="22"/>
        </w:rPr>
        <w:t xml:space="preserve">            </w:t>
      </w:r>
      <w:r w:rsidRPr="005B0E2B">
        <w:rPr>
          <w:rFonts w:ascii="Times New Roman" w:hAnsi="Times New Roman"/>
          <w:sz w:val="22"/>
          <w:szCs w:val="22"/>
        </w:rPr>
        <w:t>&lt;/</w:t>
      </w:r>
      <w:proofErr w:type="spellStart"/>
      <w:proofErr w:type="gramStart"/>
      <w:r w:rsidRPr="005B0E2B">
        <w:rPr>
          <w:rFonts w:ascii="Times New Roman" w:hAnsi="Times New Roman"/>
          <w:sz w:val="22"/>
          <w:szCs w:val="22"/>
        </w:rPr>
        <w:t>xbrldi:</w:t>
      </w:r>
      <w:proofErr w:type="gramEnd"/>
      <w:r w:rsidRPr="005B0E2B">
        <w:rPr>
          <w:rFonts w:ascii="Times New Roman" w:hAnsi="Times New Roman"/>
          <w:sz w:val="22"/>
          <w:szCs w:val="22"/>
        </w:rPr>
        <w:t>typedMember</w:t>
      </w:r>
      <w:proofErr w:type="spellEnd"/>
      <w:r w:rsidRPr="005B0E2B">
        <w:rPr>
          <w:rFonts w:ascii="Times New Roman" w:hAnsi="Times New Roman"/>
          <w:sz w:val="22"/>
          <w:szCs w:val="22"/>
        </w:rPr>
        <w:t>&gt;</w:t>
      </w:r>
    </w:p>
    <w:p w:rsidR="00914CEC" w:rsidRDefault="00914CEC" w:rsidP="00A22C21">
      <w:pPr>
        <w:rPr>
          <w:rFonts w:ascii="Times New Roman" w:hAnsi="Times New Roman"/>
          <w:sz w:val="22"/>
          <w:szCs w:val="22"/>
        </w:rPr>
      </w:pPr>
    </w:p>
    <w:p w:rsidR="006E4A8E" w:rsidRPr="007D6BC8" w:rsidRDefault="006E4A8E" w:rsidP="00F74294">
      <w:pPr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 xml:space="preserve">La balise &lt;ID&gt; portant la valeur de la dimension </w:t>
      </w:r>
      <w:r w:rsidR="0046132B">
        <w:rPr>
          <w:rFonts w:ascii="Times New Roman" w:hAnsi="Times New Roman"/>
          <w:sz w:val="22"/>
          <w:szCs w:val="22"/>
        </w:rPr>
        <w:t xml:space="preserve">typée MP porte un attribut </w:t>
      </w:r>
      <w:proofErr w:type="spellStart"/>
      <w:r w:rsidR="0046132B">
        <w:rPr>
          <w:rFonts w:ascii="Times New Roman" w:hAnsi="Times New Roman"/>
          <w:sz w:val="22"/>
          <w:szCs w:val="22"/>
        </w:rPr>
        <w:t>xsi:nil</w:t>
      </w:r>
      <w:proofErr w:type="spellEnd"/>
      <w:r w:rsidR="0046132B">
        <w:rPr>
          <w:rFonts w:ascii="Times New Roman" w:hAnsi="Times New Roman"/>
          <w:sz w:val="22"/>
          <w:szCs w:val="22"/>
        </w:rPr>
        <w:t xml:space="preserve"> à "</w:t>
      </w:r>
      <w:proofErr w:type="spellStart"/>
      <w:r w:rsidR="0046132B">
        <w:rPr>
          <w:rFonts w:ascii="Times New Roman" w:hAnsi="Times New Roman"/>
          <w:sz w:val="22"/>
          <w:szCs w:val="22"/>
        </w:rPr>
        <w:t>true</w:t>
      </w:r>
      <w:proofErr w:type="spellEnd"/>
      <w:r w:rsidR="0046132B">
        <w:rPr>
          <w:rFonts w:ascii="Times New Roman" w:hAnsi="Times New Roman"/>
          <w:sz w:val="22"/>
          <w:szCs w:val="22"/>
        </w:rPr>
        <w:t xml:space="preserve">" et utilise l’espace de nommage par défaut (pas de </w:t>
      </w:r>
      <w:proofErr w:type="spellStart"/>
      <w:r w:rsidR="0046132B">
        <w:rPr>
          <w:rFonts w:ascii="Times New Roman" w:hAnsi="Times New Roman"/>
          <w:sz w:val="22"/>
          <w:szCs w:val="22"/>
        </w:rPr>
        <w:t>pérfixe</w:t>
      </w:r>
      <w:proofErr w:type="spellEnd"/>
      <w:r w:rsidR="0046132B">
        <w:rPr>
          <w:rFonts w:ascii="Times New Roman" w:hAnsi="Times New Roman"/>
          <w:sz w:val="22"/>
          <w:szCs w:val="22"/>
        </w:rPr>
        <w:t xml:space="preserve"> devant le nom local).</w:t>
      </w:r>
    </w:p>
    <w:p w:rsidR="000B6A43" w:rsidRDefault="000B6A43" w:rsidP="006E4A8E"/>
    <w:p w:rsidR="006E4A8E" w:rsidRDefault="006E4A8E" w:rsidP="006E4A8E">
      <w:pPr>
        <w:rPr>
          <w:i/>
          <w:sz w:val="22"/>
          <w:szCs w:val="22"/>
        </w:rPr>
      </w:pPr>
      <w:r w:rsidRPr="007D6BC8">
        <w:rPr>
          <w:b/>
          <w:bCs/>
          <w:i/>
          <w:sz w:val="22"/>
          <w:szCs w:val="22"/>
          <w:u w:val="single"/>
        </w:rPr>
        <w:t>Traité par SURFI</w:t>
      </w:r>
      <w:r w:rsidRPr="007D6BC8">
        <w:rPr>
          <w:i/>
          <w:sz w:val="22"/>
          <w:szCs w:val="22"/>
        </w:rPr>
        <w:t> :</w:t>
      </w:r>
    </w:p>
    <w:p w:rsidR="00F74294" w:rsidRPr="007D6BC8" w:rsidRDefault="00F74294" w:rsidP="006E4A8E">
      <w:pPr>
        <w:rPr>
          <w:i/>
          <w:sz w:val="22"/>
          <w:szCs w:val="22"/>
        </w:rPr>
      </w:pP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 xml:space="preserve">Préfixe de </w:t>
      </w: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défini pour les balises portant les valeurs de dimension : (xmlns</w:t>
      </w:r>
      <w:r w:rsidRPr="007D6BC8">
        <w:rPr>
          <w:rFonts w:ascii="Times New Roman" w:hAnsi="Times New Roman"/>
          <w:sz w:val="22"/>
          <w:szCs w:val="22"/>
          <w:highlight w:val="yellow"/>
        </w:rPr>
        <w:t>:s2c_typ</w:t>
      </w:r>
      <w:r w:rsidRPr="007D6BC8">
        <w:rPr>
          <w:rFonts w:ascii="Times New Roman" w:hAnsi="Times New Roman"/>
          <w:sz w:val="22"/>
          <w:szCs w:val="22"/>
        </w:rPr>
        <w:t>="</w:t>
      </w:r>
      <w:hyperlink r:id="rId10" w:history="1">
        <w:r w:rsidRPr="007D6BC8">
          <w:rPr>
            <w:rStyle w:val="Lienhypertexte"/>
            <w:rFonts w:ascii="Times New Roman" w:hAnsi="Times New Roman"/>
            <w:color w:val="auto"/>
            <w:sz w:val="22"/>
            <w:szCs w:val="22"/>
          </w:rPr>
          <w:t>http://eiopa.europa.eu/xbrl/s2c/dict/typ</w:t>
        </w:r>
      </w:hyperlink>
      <w:r w:rsidRPr="007D6BC8">
        <w:rPr>
          <w:rFonts w:ascii="Times New Roman" w:hAnsi="Times New Roman"/>
          <w:sz w:val="22"/>
          <w:szCs w:val="22"/>
        </w:rPr>
        <w:t>")</w:t>
      </w:r>
    </w:p>
    <w:p w:rsidR="000B6A43" w:rsidRDefault="000B6A43" w:rsidP="000B6A43">
      <w:pPr>
        <w:ind w:left="360"/>
        <w:rPr>
          <w:rFonts w:ascii="Times New Roman" w:hAnsi="Times New Roman"/>
          <w:sz w:val="22"/>
          <w:szCs w:val="22"/>
        </w:rPr>
      </w:pPr>
    </w:p>
    <w:p w:rsidR="00F74294" w:rsidRPr="007D6BC8" w:rsidRDefault="00F74294" w:rsidP="000B6A43">
      <w:pPr>
        <w:ind w:left="360"/>
        <w:rPr>
          <w:rFonts w:ascii="Times New Roman" w:hAnsi="Times New Roman"/>
          <w:sz w:val="22"/>
          <w:szCs w:val="22"/>
        </w:rPr>
      </w:pPr>
    </w:p>
    <w:p w:rsidR="006E4A8E" w:rsidRPr="000150FA" w:rsidRDefault="006E4A8E" w:rsidP="00EB7C3A">
      <w:pPr>
        <w:ind w:left="357" w:firstLine="709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150FA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lastRenderedPageBreak/>
        <w:t>Exemple</w:t>
      </w:r>
      <w:r w:rsidRPr="000150FA">
        <w:rPr>
          <w:rFonts w:ascii="Times New Roman" w:hAnsi="Times New Roman"/>
          <w:sz w:val="22"/>
          <w:szCs w:val="22"/>
          <w:lang w:val="en-US"/>
        </w:rPr>
        <w:t> :</w:t>
      </w:r>
      <w:proofErr w:type="gramEnd"/>
    </w:p>
    <w:p w:rsidR="0023006C" w:rsidRPr="006607E7" w:rsidRDefault="0023006C" w:rsidP="006607E7">
      <w:pPr>
        <w:ind w:firstLine="709"/>
        <w:rPr>
          <w:rFonts w:ascii="Times New Roman" w:hAnsi="Times New Roman"/>
          <w:sz w:val="22"/>
          <w:szCs w:val="22"/>
          <w:lang w:val="en-US"/>
        </w:rPr>
      </w:pPr>
      <w:r w:rsidRPr="006607E7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607E7">
        <w:rPr>
          <w:rFonts w:ascii="Times New Roman" w:hAnsi="Times New Roman"/>
          <w:sz w:val="22"/>
          <w:szCs w:val="22"/>
          <w:lang w:val="en-US"/>
        </w:rPr>
        <w:t>xbrldi</w:t>
      </w:r>
      <w:proofErr w:type="gramStart"/>
      <w:r w:rsidRPr="006607E7">
        <w:rPr>
          <w:rFonts w:ascii="Times New Roman" w:hAnsi="Times New Roman"/>
          <w:sz w:val="22"/>
          <w:szCs w:val="22"/>
          <w:lang w:val="en-US"/>
        </w:rPr>
        <w:t>:typedMember</w:t>
      </w:r>
      <w:proofErr w:type="spellEnd"/>
      <w:proofErr w:type="gramEnd"/>
      <w:r w:rsidRPr="006607E7">
        <w:rPr>
          <w:rFonts w:ascii="Times New Roman" w:hAnsi="Times New Roman"/>
          <w:sz w:val="22"/>
          <w:szCs w:val="22"/>
          <w:lang w:val="en-US"/>
        </w:rPr>
        <w:t xml:space="preserve"> dimension="s2c_dim:MP"&gt;</w:t>
      </w:r>
    </w:p>
    <w:p w:rsidR="00914CEC" w:rsidRDefault="0023006C" w:rsidP="00FA589B">
      <w:pPr>
        <w:rPr>
          <w:rFonts w:ascii="Times New Roman" w:hAnsi="Times New Roman"/>
          <w:sz w:val="22"/>
          <w:szCs w:val="22"/>
          <w:lang w:val="en-US"/>
        </w:rPr>
      </w:pPr>
      <w:r w:rsidRPr="006607E7">
        <w:rPr>
          <w:rFonts w:ascii="Times New Roman" w:hAnsi="Times New Roman"/>
          <w:sz w:val="22"/>
          <w:szCs w:val="22"/>
          <w:lang w:val="en-US"/>
        </w:rPr>
        <w:t xml:space="preserve">              </w:t>
      </w:r>
      <w:r w:rsidR="006607E7" w:rsidRPr="006607E7">
        <w:rPr>
          <w:rFonts w:ascii="Times New Roman" w:hAnsi="Times New Roman"/>
          <w:sz w:val="22"/>
          <w:szCs w:val="22"/>
          <w:lang w:val="en-US"/>
        </w:rPr>
        <w:t>&lt;</w:t>
      </w:r>
      <w:r w:rsidR="006607E7" w:rsidRPr="006607E7">
        <w:rPr>
          <w:rFonts w:ascii="Times New Roman" w:hAnsi="Times New Roman"/>
          <w:sz w:val="22"/>
          <w:szCs w:val="22"/>
          <w:highlight w:val="yellow"/>
          <w:lang w:val="en-US"/>
        </w:rPr>
        <w:t>s2c_typ</w:t>
      </w:r>
      <w:proofErr w:type="gramStart"/>
      <w:r w:rsidR="006607E7" w:rsidRPr="006607E7">
        <w:rPr>
          <w:rFonts w:ascii="Times New Roman" w:hAnsi="Times New Roman"/>
          <w:sz w:val="22"/>
          <w:szCs w:val="22"/>
          <w:lang w:val="en-US"/>
        </w:rPr>
        <w:t>:ID</w:t>
      </w:r>
      <w:proofErr w:type="gramEnd"/>
      <w:r w:rsidR="006607E7" w:rsidRPr="006607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607E7" w:rsidRPr="006607E7">
        <w:rPr>
          <w:rFonts w:ascii="Times New Roman" w:hAnsi="Times New Roman"/>
          <w:sz w:val="22"/>
          <w:szCs w:val="22"/>
          <w:lang w:val="en-US"/>
        </w:rPr>
        <w:t>xsi:nil</w:t>
      </w:r>
      <w:proofErr w:type="spellEnd"/>
      <w:r w:rsidR="006607E7" w:rsidRPr="006607E7">
        <w:rPr>
          <w:rFonts w:ascii="Times New Roman" w:hAnsi="Times New Roman"/>
          <w:sz w:val="22"/>
          <w:szCs w:val="22"/>
          <w:lang w:val="en-US"/>
        </w:rPr>
        <w:t>="true</w:t>
      </w:r>
      <w:r w:rsidR="006607E7" w:rsidRPr="006607E7">
        <w:rPr>
          <w:rFonts w:ascii="Times New Roman" w:hAnsi="Times New Roman"/>
          <w:sz w:val="22"/>
          <w:szCs w:val="22"/>
          <w:highlight w:val="yellow"/>
          <w:lang w:val="en-US"/>
        </w:rPr>
        <w:t>"&gt;&lt;/s2c_typ</w:t>
      </w:r>
      <w:r w:rsidR="006607E7" w:rsidRPr="006607E7">
        <w:rPr>
          <w:rFonts w:ascii="Times New Roman" w:hAnsi="Times New Roman"/>
          <w:sz w:val="22"/>
          <w:szCs w:val="22"/>
          <w:lang w:val="en-US"/>
        </w:rPr>
        <w:t>:ID&gt;</w:t>
      </w:r>
      <w:r w:rsidRPr="006607E7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:rsidR="0023006C" w:rsidRDefault="0023006C" w:rsidP="00FA589B">
      <w:pPr>
        <w:rPr>
          <w:rFonts w:ascii="Times New Roman" w:hAnsi="Times New Roman"/>
          <w:sz w:val="22"/>
          <w:szCs w:val="22"/>
        </w:rPr>
      </w:pPr>
      <w:r w:rsidRPr="006607E7">
        <w:rPr>
          <w:rFonts w:ascii="Times New Roman" w:hAnsi="Times New Roman"/>
          <w:sz w:val="22"/>
          <w:szCs w:val="22"/>
          <w:lang w:val="en-US"/>
        </w:rPr>
        <w:t xml:space="preserve">          </w:t>
      </w:r>
      <w:r w:rsidR="000E77F6">
        <w:rPr>
          <w:rFonts w:ascii="Times New Roman" w:hAnsi="Times New Roman"/>
          <w:sz w:val="22"/>
          <w:szCs w:val="22"/>
          <w:lang w:val="en-US"/>
        </w:rPr>
        <w:t xml:space="preserve">   </w:t>
      </w:r>
      <w:r w:rsidRPr="00A16DF1">
        <w:rPr>
          <w:rFonts w:ascii="Times New Roman" w:hAnsi="Times New Roman"/>
          <w:sz w:val="22"/>
          <w:szCs w:val="22"/>
        </w:rPr>
        <w:t>&lt;/</w:t>
      </w:r>
      <w:proofErr w:type="spellStart"/>
      <w:r w:rsidRPr="00A16DF1">
        <w:rPr>
          <w:rFonts w:ascii="Times New Roman" w:hAnsi="Times New Roman"/>
          <w:sz w:val="22"/>
          <w:szCs w:val="22"/>
        </w:rPr>
        <w:t>xbrldi:typedMember</w:t>
      </w:r>
      <w:proofErr w:type="spellEnd"/>
      <w:r w:rsidRPr="00A16DF1">
        <w:rPr>
          <w:rFonts w:ascii="Times New Roman" w:hAnsi="Times New Roman"/>
          <w:sz w:val="22"/>
          <w:szCs w:val="22"/>
        </w:rPr>
        <w:t>&gt;</w:t>
      </w:r>
    </w:p>
    <w:p w:rsidR="00F74294" w:rsidRDefault="00F74294" w:rsidP="002112F6">
      <w:pPr>
        <w:spacing w:before="120"/>
        <w:ind w:left="357"/>
        <w:rPr>
          <w:rFonts w:ascii="Times New Roman" w:hAnsi="Times New Roman"/>
          <w:sz w:val="22"/>
          <w:szCs w:val="22"/>
        </w:rPr>
      </w:pPr>
    </w:p>
    <w:p w:rsidR="007C0EB0" w:rsidRPr="000B6A43" w:rsidRDefault="0046132B" w:rsidP="00F74294">
      <w:pPr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balise </w:t>
      </w:r>
      <w:r w:rsidR="00F74294">
        <w:rPr>
          <w:rFonts w:ascii="Times New Roman" w:hAnsi="Times New Roman"/>
          <w:sz w:val="22"/>
          <w:szCs w:val="22"/>
        </w:rPr>
        <w:t>&lt;</w:t>
      </w:r>
      <w:r>
        <w:rPr>
          <w:rFonts w:ascii="Times New Roman" w:hAnsi="Times New Roman"/>
          <w:sz w:val="22"/>
          <w:szCs w:val="22"/>
        </w:rPr>
        <w:t>ID</w:t>
      </w:r>
      <w:r w:rsidR="00F74294">
        <w:rPr>
          <w:rFonts w:ascii="Times New Roman" w:hAnsi="Times New Roman"/>
          <w:sz w:val="22"/>
          <w:szCs w:val="22"/>
        </w:rPr>
        <w:t xml:space="preserve">&gt; </w:t>
      </w:r>
      <w:r>
        <w:rPr>
          <w:rFonts w:ascii="Times New Roman" w:hAnsi="Times New Roman"/>
          <w:sz w:val="22"/>
          <w:szCs w:val="22"/>
        </w:rPr>
        <w:t xml:space="preserve"> utilise l’espace de nommage</w:t>
      </w:r>
      <w:r w:rsidR="00F56FAF">
        <w:rPr>
          <w:rFonts w:ascii="Times New Roman" w:hAnsi="Times New Roman"/>
          <w:sz w:val="22"/>
          <w:szCs w:val="22"/>
        </w:rPr>
        <w:t xml:space="preserve"> associé aux valeurs de dimensions typées (</w:t>
      </w:r>
      <w:hyperlink r:id="rId11" w:history="1">
        <w:r w:rsidRPr="007D6BC8">
          <w:rPr>
            <w:rStyle w:val="Lienhypertexte"/>
            <w:rFonts w:ascii="Times New Roman" w:hAnsi="Times New Roman"/>
            <w:color w:val="auto"/>
            <w:sz w:val="22"/>
            <w:szCs w:val="22"/>
          </w:rPr>
          <w:t>http://eiopa.europa.eu/xbrl/s2c/dict/typ</w:t>
        </w:r>
      </w:hyperlink>
      <w:r w:rsidR="00F56FAF">
        <w:rPr>
          <w:rStyle w:val="Lienhypertexte"/>
          <w:rFonts w:ascii="Times New Roman" w:hAnsi="Times New Roman"/>
          <w:color w:val="auto"/>
          <w:sz w:val="22"/>
          <w:szCs w:val="22"/>
        </w:rPr>
        <w:t xml:space="preserve">), </w:t>
      </w:r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déclaré dans la balise </w:t>
      </w:r>
      <w:proofErr w:type="spellStart"/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xbrli</w:t>
      </w:r>
      <w:proofErr w:type="spellEnd"/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 </w:t>
      </w:r>
      <w:proofErr w:type="gramStart"/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:</w:t>
      </w:r>
      <w:proofErr w:type="spellStart"/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xbrl</w:t>
      </w:r>
      <w:proofErr w:type="spellEnd"/>
      <w:proofErr w:type="gramEnd"/>
      <w:r w:rsidR="00F56FAF" w:rsidRPr="00F74294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 et associé à son préfixe canonique : s2c_typ.</w:t>
      </w:r>
    </w:p>
    <w:sectPr w:rsidR="007C0EB0" w:rsidRPr="000B6A43" w:rsidSect="00F74294">
      <w:headerReference w:type="even" r:id="rId12"/>
      <w:headerReference w:type="default" r:id="rId13"/>
      <w:footerReference w:type="even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8B" w:rsidRDefault="00F8758B">
      <w:r>
        <w:separator/>
      </w:r>
    </w:p>
  </w:endnote>
  <w:endnote w:type="continuationSeparator" w:id="0">
    <w:p w:rsidR="00F8758B" w:rsidRDefault="00F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CE" w:rsidRDefault="00180CCE" w:rsidP="005A43DE">
    <w:pPr>
      <w:pStyle w:val="Pieddepage"/>
    </w:pPr>
  </w:p>
  <w:p w:rsidR="00180CCE" w:rsidRDefault="00180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8B" w:rsidRDefault="00F8758B">
      <w:r>
        <w:separator/>
      </w:r>
    </w:p>
  </w:footnote>
  <w:footnote w:type="continuationSeparator" w:id="0">
    <w:p w:rsidR="00F8758B" w:rsidRDefault="00F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 w:rsidP="00A04D1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07122E">
    <w:pPr>
      <w:pStyle w:val="En-tte"/>
      <w:tabs>
        <w:tab w:val="clear" w:pos="9072"/>
      </w:tabs>
      <w:ind w:left="-630" w:right="-558"/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DE"/>
    <w:multiLevelType w:val="hybridMultilevel"/>
    <w:tmpl w:val="556E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730"/>
    <w:multiLevelType w:val="hybridMultilevel"/>
    <w:tmpl w:val="3E801A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FD329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81066C"/>
    <w:multiLevelType w:val="hybridMultilevel"/>
    <w:tmpl w:val="625E28EE"/>
    <w:lvl w:ilvl="0" w:tplc="68587776">
      <w:start w:val="1"/>
      <w:numFmt w:val="bullet"/>
      <w:lvlText w:val="-"/>
      <w:lvlJc w:val="left"/>
      <w:pPr>
        <w:ind w:left="16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A736A73"/>
    <w:multiLevelType w:val="hybridMultilevel"/>
    <w:tmpl w:val="D3004B18"/>
    <w:lvl w:ilvl="0" w:tplc="AD24F4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282D"/>
    <w:multiLevelType w:val="hybridMultilevel"/>
    <w:tmpl w:val="0F8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44F3"/>
    <w:multiLevelType w:val="hybridMultilevel"/>
    <w:tmpl w:val="256CF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57E0"/>
    <w:multiLevelType w:val="hybridMultilevel"/>
    <w:tmpl w:val="E34A21B8"/>
    <w:lvl w:ilvl="0" w:tplc="191CA56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00132E"/>
    <w:rsid w:val="00002E1C"/>
    <w:rsid w:val="00005DCC"/>
    <w:rsid w:val="000150FA"/>
    <w:rsid w:val="00021188"/>
    <w:rsid w:val="00021FD7"/>
    <w:rsid w:val="0002730D"/>
    <w:rsid w:val="0002763A"/>
    <w:rsid w:val="0003606A"/>
    <w:rsid w:val="00036D74"/>
    <w:rsid w:val="000408C7"/>
    <w:rsid w:val="00041A4D"/>
    <w:rsid w:val="00046B9D"/>
    <w:rsid w:val="00055247"/>
    <w:rsid w:val="00061EF2"/>
    <w:rsid w:val="00062BF9"/>
    <w:rsid w:val="00070D26"/>
    <w:rsid w:val="0007122E"/>
    <w:rsid w:val="00071576"/>
    <w:rsid w:val="00074F22"/>
    <w:rsid w:val="000825FB"/>
    <w:rsid w:val="000848C7"/>
    <w:rsid w:val="00085782"/>
    <w:rsid w:val="00090195"/>
    <w:rsid w:val="0009172D"/>
    <w:rsid w:val="00093A7D"/>
    <w:rsid w:val="000958BC"/>
    <w:rsid w:val="000978E0"/>
    <w:rsid w:val="000A4000"/>
    <w:rsid w:val="000B4816"/>
    <w:rsid w:val="000B6A43"/>
    <w:rsid w:val="000B6E7A"/>
    <w:rsid w:val="000C6D70"/>
    <w:rsid w:val="000C7E16"/>
    <w:rsid w:val="000E100A"/>
    <w:rsid w:val="000E77F6"/>
    <w:rsid w:val="000F2ECE"/>
    <w:rsid w:val="00104504"/>
    <w:rsid w:val="00114CD6"/>
    <w:rsid w:val="001240FC"/>
    <w:rsid w:val="001309CF"/>
    <w:rsid w:val="00135E2F"/>
    <w:rsid w:val="0014398F"/>
    <w:rsid w:val="00143A6C"/>
    <w:rsid w:val="001509D7"/>
    <w:rsid w:val="0016518B"/>
    <w:rsid w:val="0017001E"/>
    <w:rsid w:val="00170477"/>
    <w:rsid w:val="001721C7"/>
    <w:rsid w:val="0017773F"/>
    <w:rsid w:val="00180CCE"/>
    <w:rsid w:val="00190AD7"/>
    <w:rsid w:val="001918EF"/>
    <w:rsid w:val="001A385E"/>
    <w:rsid w:val="001B28F2"/>
    <w:rsid w:val="001B5E04"/>
    <w:rsid w:val="001C11D2"/>
    <w:rsid w:val="001C1358"/>
    <w:rsid w:val="001C29D2"/>
    <w:rsid w:val="001C3B96"/>
    <w:rsid w:val="001C641B"/>
    <w:rsid w:val="001E5A71"/>
    <w:rsid w:val="001F0BE7"/>
    <w:rsid w:val="001F6E0A"/>
    <w:rsid w:val="00202639"/>
    <w:rsid w:val="002112F6"/>
    <w:rsid w:val="0021166A"/>
    <w:rsid w:val="002129A1"/>
    <w:rsid w:val="00214C1D"/>
    <w:rsid w:val="00215795"/>
    <w:rsid w:val="00215F4E"/>
    <w:rsid w:val="00216242"/>
    <w:rsid w:val="0022015F"/>
    <w:rsid w:val="0023006C"/>
    <w:rsid w:val="00232A68"/>
    <w:rsid w:val="00237AF1"/>
    <w:rsid w:val="002742A3"/>
    <w:rsid w:val="0028415A"/>
    <w:rsid w:val="00294EF1"/>
    <w:rsid w:val="002A206D"/>
    <w:rsid w:val="002A5F00"/>
    <w:rsid w:val="002B3BB6"/>
    <w:rsid w:val="002C2195"/>
    <w:rsid w:val="002C2FDD"/>
    <w:rsid w:val="002C4B97"/>
    <w:rsid w:val="002C7282"/>
    <w:rsid w:val="002C78DB"/>
    <w:rsid w:val="002D38FF"/>
    <w:rsid w:val="002E6C99"/>
    <w:rsid w:val="002F07BF"/>
    <w:rsid w:val="002F28CA"/>
    <w:rsid w:val="003176D2"/>
    <w:rsid w:val="003326AE"/>
    <w:rsid w:val="0033556B"/>
    <w:rsid w:val="003403BF"/>
    <w:rsid w:val="00340B45"/>
    <w:rsid w:val="0034197A"/>
    <w:rsid w:val="003611D8"/>
    <w:rsid w:val="00373967"/>
    <w:rsid w:val="00393693"/>
    <w:rsid w:val="003A6DC6"/>
    <w:rsid w:val="003C5F99"/>
    <w:rsid w:val="003D0D5C"/>
    <w:rsid w:val="003D38D2"/>
    <w:rsid w:val="003D68C8"/>
    <w:rsid w:val="003E22DC"/>
    <w:rsid w:val="00400819"/>
    <w:rsid w:val="004109AC"/>
    <w:rsid w:val="0043717C"/>
    <w:rsid w:val="00441B23"/>
    <w:rsid w:val="0046132B"/>
    <w:rsid w:val="004640EB"/>
    <w:rsid w:val="0046687B"/>
    <w:rsid w:val="00472726"/>
    <w:rsid w:val="004755DF"/>
    <w:rsid w:val="00481A21"/>
    <w:rsid w:val="00486C42"/>
    <w:rsid w:val="004877E2"/>
    <w:rsid w:val="00492B99"/>
    <w:rsid w:val="0049519E"/>
    <w:rsid w:val="004973F4"/>
    <w:rsid w:val="004B3964"/>
    <w:rsid w:val="004E3FCE"/>
    <w:rsid w:val="004E5175"/>
    <w:rsid w:val="004F0D90"/>
    <w:rsid w:val="004F71B4"/>
    <w:rsid w:val="004F724B"/>
    <w:rsid w:val="004F7D4D"/>
    <w:rsid w:val="00503319"/>
    <w:rsid w:val="00503E1E"/>
    <w:rsid w:val="005240C9"/>
    <w:rsid w:val="005507B4"/>
    <w:rsid w:val="00554FDF"/>
    <w:rsid w:val="0058346D"/>
    <w:rsid w:val="0059525C"/>
    <w:rsid w:val="00597C71"/>
    <w:rsid w:val="005A2C80"/>
    <w:rsid w:val="005B0E2B"/>
    <w:rsid w:val="005B1007"/>
    <w:rsid w:val="005D3C05"/>
    <w:rsid w:val="005E11A2"/>
    <w:rsid w:val="005E4B45"/>
    <w:rsid w:val="00607186"/>
    <w:rsid w:val="006123FE"/>
    <w:rsid w:val="006165E3"/>
    <w:rsid w:val="006169F7"/>
    <w:rsid w:val="00637752"/>
    <w:rsid w:val="00652475"/>
    <w:rsid w:val="006607E7"/>
    <w:rsid w:val="00661437"/>
    <w:rsid w:val="0067241C"/>
    <w:rsid w:val="006806A8"/>
    <w:rsid w:val="00683144"/>
    <w:rsid w:val="00683ACE"/>
    <w:rsid w:val="006930AE"/>
    <w:rsid w:val="00695EB6"/>
    <w:rsid w:val="006B07B3"/>
    <w:rsid w:val="006C0DD0"/>
    <w:rsid w:val="006E20CD"/>
    <w:rsid w:val="006E4A8E"/>
    <w:rsid w:val="006F2611"/>
    <w:rsid w:val="006F7CF6"/>
    <w:rsid w:val="007050E6"/>
    <w:rsid w:val="007169FF"/>
    <w:rsid w:val="00737BAB"/>
    <w:rsid w:val="007420DF"/>
    <w:rsid w:val="007444BC"/>
    <w:rsid w:val="00754DD1"/>
    <w:rsid w:val="00757206"/>
    <w:rsid w:val="00765C11"/>
    <w:rsid w:val="00766CCA"/>
    <w:rsid w:val="00777CC0"/>
    <w:rsid w:val="0078079B"/>
    <w:rsid w:val="00783BD4"/>
    <w:rsid w:val="00784A94"/>
    <w:rsid w:val="0078526B"/>
    <w:rsid w:val="00791707"/>
    <w:rsid w:val="00796BEC"/>
    <w:rsid w:val="007A76D2"/>
    <w:rsid w:val="007B1DB7"/>
    <w:rsid w:val="007C0EB0"/>
    <w:rsid w:val="007C6A6D"/>
    <w:rsid w:val="007D15B4"/>
    <w:rsid w:val="007D6760"/>
    <w:rsid w:val="007D6BC8"/>
    <w:rsid w:val="007E56A3"/>
    <w:rsid w:val="008127EA"/>
    <w:rsid w:val="00812C1E"/>
    <w:rsid w:val="00815330"/>
    <w:rsid w:val="0082664B"/>
    <w:rsid w:val="008420EC"/>
    <w:rsid w:val="008465A9"/>
    <w:rsid w:val="00847ED2"/>
    <w:rsid w:val="00853F68"/>
    <w:rsid w:val="00855F0A"/>
    <w:rsid w:val="00874FAC"/>
    <w:rsid w:val="00886092"/>
    <w:rsid w:val="0088659F"/>
    <w:rsid w:val="00894AD0"/>
    <w:rsid w:val="008952A5"/>
    <w:rsid w:val="008A1B80"/>
    <w:rsid w:val="008A340C"/>
    <w:rsid w:val="008C2151"/>
    <w:rsid w:val="008C4FF1"/>
    <w:rsid w:val="008D20FA"/>
    <w:rsid w:val="008D49B2"/>
    <w:rsid w:val="008D706E"/>
    <w:rsid w:val="008F0F2E"/>
    <w:rsid w:val="008F3706"/>
    <w:rsid w:val="008F3EC2"/>
    <w:rsid w:val="008F3F9C"/>
    <w:rsid w:val="00914CEC"/>
    <w:rsid w:val="00922A35"/>
    <w:rsid w:val="0092603A"/>
    <w:rsid w:val="00931CB6"/>
    <w:rsid w:val="0095063F"/>
    <w:rsid w:val="009545E8"/>
    <w:rsid w:val="00961EAA"/>
    <w:rsid w:val="0096758B"/>
    <w:rsid w:val="00967851"/>
    <w:rsid w:val="0097089E"/>
    <w:rsid w:val="00970F8D"/>
    <w:rsid w:val="00981F56"/>
    <w:rsid w:val="009A020E"/>
    <w:rsid w:val="009B339C"/>
    <w:rsid w:val="009B74E8"/>
    <w:rsid w:val="009B7970"/>
    <w:rsid w:val="009C304C"/>
    <w:rsid w:val="009C6825"/>
    <w:rsid w:val="009E5B6D"/>
    <w:rsid w:val="009F7AD6"/>
    <w:rsid w:val="00A04D1D"/>
    <w:rsid w:val="00A04F27"/>
    <w:rsid w:val="00A16DF1"/>
    <w:rsid w:val="00A22C21"/>
    <w:rsid w:val="00A3190B"/>
    <w:rsid w:val="00A46350"/>
    <w:rsid w:val="00A47F7D"/>
    <w:rsid w:val="00A54988"/>
    <w:rsid w:val="00A6112A"/>
    <w:rsid w:val="00A632CC"/>
    <w:rsid w:val="00A63B9D"/>
    <w:rsid w:val="00A66193"/>
    <w:rsid w:val="00A704E5"/>
    <w:rsid w:val="00A71F58"/>
    <w:rsid w:val="00A746B9"/>
    <w:rsid w:val="00A76402"/>
    <w:rsid w:val="00A92B4D"/>
    <w:rsid w:val="00AA1F76"/>
    <w:rsid w:val="00AB1AA9"/>
    <w:rsid w:val="00AD28F6"/>
    <w:rsid w:val="00AE2DB0"/>
    <w:rsid w:val="00AE4AC9"/>
    <w:rsid w:val="00AF14FE"/>
    <w:rsid w:val="00AF247B"/>
    <w:rsid w:val="00AF2EB7"/>
    <w:rsid w:val="00B009A0"/>
    <w:rsid w:val="00B024C6"/>
    <w:rsid w:val="00B0463B"/>
    <w:rsid w:val="00B10905"/>
    <w:rsid w:val="00B1266B"/>
    <w:rsid w:val="00B14812"/>
    <w:rsid w:val="00B16B50"/>
    <w:rsid w:val="00B2478A"/>
    <w:rsid w:val="00B24CA4"/>
    <w:rsid w:val="00B52C8F"/>
    <w:rsid w:val="00B803E5"/>
    <w:rsid w:val="00B81478"/>
    <w:rsid w:val="00B816C0"/>
    <w:rsid w:val="00BA4CD7"/>
    <w:rsid w:val="00BB4B42"/>
    <w:rsid w:val="00BC1B66"/>
    <w:rsid w:val="00BD1969"/>
    <w:rsid w:val="00BE5383"/>
    <w:rsid w:val="00BF3D94"/>
    <w:rsid w:val="00BF5AE3"/>
    <w:rsid w:val="00C00B4D"/>
    <w:rsid w:val="00C02EE7"/>
    <w:rsid w:val="00C07D78"/>
    <w:rsid w:val="00C11EFE"/>
    <w:rsid w:val="00C137CE"/>
    <w:rsid w:val="00C16115"/>
    <w:rsid w:val="00C278C9"/>
    <w:rsid w:val="00C329DB"/>
    <w:rsid w:val="00C42465"/>
    <w:rsid w:val="00C424EF"/>
    <w:rsid w:val="00C43A2A"/>
    <w:rsid w:val="00C52214"/>
    <w:rsid w:val="00C53CF3"/>
    <w:rsid w:val="00C57C6D"/>
    <w:rsid w:val="00C633A7"/>
    <w:rsid w:val="00C81840"/>
    <w:rsid w:val="00C93EFB"/>
    <w:rsid w:val="00C95975"/>
    <w:rsid w:val="00CA3674"/>
    <w:rsid w:val="00CA52D6"/>
    <w:rsid w:val="00CB23F6"/>
    <w:rsid w:val="00CB2CCF"/>
    <w:rsid w:val="00CC1689"/>
    <w:rsid w:val="00CC4292"/>
    <w:rsid w:val="00CD49B6"/>
    <w:rsid w:val="00CE049F"/>
    <w:rsid w:val="00CF4973"/>
    <w:rsid w:val="00D00477"/>
    <w:rsid w:val="00D17D5E"/>
    <w:rsid w:val="00D547ED"/>
    <w:rsid w:val="00D612F7"/>
    <w:rsid w:val="00D63BF9"/>
    <w:rsid w:val="00D855F4"/>
    <w:rsid w:val="00D858CF"/>
    <w:rsid w:val="00D92816"/>
    <w:rsid w:val="00D93798"/>
    <w:rsid w:val="00D94A9B"/>
    <w:rsid w:val="00DA2B05"/>
    <w:rsid w:val="00DA4C19"/>
    <w:rsid w:val="00DA5DB8"/>
    <w:rsid w:val="00DC39C0"/>
    <w:rsid w:val="00DC5C32"/>
    <w:rsid w:val="00DD2C24"/>
    <w:rsid w:val="00E3429E"/>
    <w:rsid w:val="00E4048C"/>
    <w:rsid w:val="00E409B9"/>
    <w:rsid w:val="00E622AC"/>
    <w:rsid w:val="00E629ED"/>
    <w:rsid w:val="00E70A4F"/>
    <w:rsid w:val="00E766BA"/>
    <w:rsid w:val="00E90297"/>
    <w:rsid w:val="00EA2940"/>
    <w:rsid w:val="00EB7C3A"/>
    <w:rsid w:val="00EC6EB3"/>
    <w:rsid w:val="00EE1A32"/>
    <w:rsid w:val="00EE6AC1"/>
    <w:rsid w:val="00F062E3"/>
    <w:rsid w:val="00F10D4B"/>
    <w:rsid w:val="00F11978"/>
    <w:rsid w:val="00F56FAF"/>
    <w:rsid w:val="00F61368"/>
    <w:rsid w:val="00F74294"/>
    <w:rsid w:val="00F8758B"/>
    <w:rsid w:val="00F93E30"/>
    <w:rsid w:val="00FA10A7"/>
    <w:rsid w:val="00FA589B"/>
    <w:rsid w:val="00FB2358"/>
    <w:rsid w:val="00FB316C"/>
    <w:rsid w:val="00FE0D0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iopa.europa.eu/xbrl/s2c/dict/ty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iopa.europa.eu/xbrl/s2c/dict/ty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88AEADF8.dotm</Template>
  <TotalTime>97</TotalTime>
  <Pages>3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</vt:lpstr>
    </vt:vector>
  </TitlesOfParts>
  <Company>Banque de France</Company>
  <LinksUpToDate>false</LinksUpToDate>
  <CharactersWithSpaces>2424</CharactersWithSpaces>
  <SharedDoc>false</SharedDoc>
  <HLinks>
    <vt:vector size="78" baseType="variant">
      <vt:variant>
        <vt:i4>4063278</vt:i4>
      </vt:variant>
      <vt:variant>
        <vt:i4>36</vt:i4>
      </vt:variant>
      <vt:variant>
        <vt:i4>0</vt:i4>
      </vt:variant>
      <vt:variant>
        <vt:i4>5</vt:i4>
      </vt:variant>
      <vt:variant>
        <vt:lpwstr>http://www.xbrl.org/utr/utr.xml</vt:lpwstr>
      </vt:variant>
      <vt:variant>
        <vt:lpwstr/>
      </vt:variant>
      <vt:variant>
        <vt:i4>4063270</vt:i4>
      </vt:variant>
      <vt:variant>
        <vt:i4>33</vt:i4>
      </vt:variant>
      <vt:variant>
        <vt:i4>0</vt:i4>
      </vt:variant>
      <vt:variant>
        <vt:i4>5</vt:i4>
      </vt:variant>
      <vt:variant>
        <vt:lpwstr>http://www.xbrl.org/RFC/PDU/PWD-2008-10-09/PDU-RFC-PWD-2008-10-09.html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http://www.xbrl.org/Specification/XBRL-RECOMMENDATION-2003-12-31+Corrected-Errata-2008-07-02.htm</vt:lpwstr>
      </vt:variant>
      <vt:variant>
        <vt:lpwstr>_4.6.7.2</vt:lpwstr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http://en.wikipedia.org/wiki/Standard_Business_Reporting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http://www.sec.gov/info/edgar/edmanuals.htm</vt:lpwstr>
      </vt:variant>
      <vt:variant>
        <vt:lpwstr/>
      </vt:variant>
      <vt:variant>
        <vt:i4>2687027</vt:i4>
      </vt:variant>
      <vt:variant>
        <vt:i4>21</vt:i4>
      </vt:variant>
      <vt:variant>
        <vt:i4>0</vt:i4>
      </vt:variant>
      <vt:variant>
        <vt:i4>5</vt:i4>
      </vt:variant>
      <vt:variant>
        <vt:lpwstr>http://www.ifrs.org/xbrl/resources/Pages/global-filing-manual.aspx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http://cen.eurofiling.info/wp-content/upLoads/data/CWA_XBRL_WI001-4-E.pdf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http://www.wikixbrl.info/index.php?title=European_Filing_Rules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http://cen.eurofiling.info/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http://acpr.banque-france.fr/solvabilite2/reporting.html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http://esurfi.banque-france.fr/banque/accueil/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http://www.xbrlfrance.org/les-formations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http://www.eba.europa.eu/documents/10180/502670/EBA+XBRL+Filing+Rules+for+v2.0.0.pdf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</dc:title>
  <dc:creator>Sylvie</dc:creator>
  <cp:lastModifiedBy>Joëlle LIGER</cp:lastModifiedBy>
  <cp:revision>13</cp:revision>
  <cp:lastPrinted>2016-05-26T09:43:00Z</cp:lastPrinted>
  <dcterms:created xsi:type="dcterms:W3CDTF">2016-05-26T08:37:00Z</dcterms:created>
  <dcterms:modified xsi:type="dcterms:W3CDTF">2016-05-26T14:04:00Z</dcterms:modified>
</cp:coreProperties>
</file>