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9" w:rsidRDefault="00A33FDC" w:rsidP="00A33FDC">
      <w:pPr>
        <w:jc w:val="center"/>
      </w:pPr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9B71927" wp14:editId="704CADFA">
            <wp:simplePos x="0" y="0"/>
            <wp:positionH relativeFrom="column">
              <wp:posOffset>-577974</wp:posOffset>
            </wp:positionH>
            <wp:positionV relativeFrom="paragraph">
              <wp:posOffset>-493601</wp:posOffset>
            </wp:positionV>
            <wp:extent cx="1323975" cy="1181100"/>
            <wp:effectExtent l="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</w:t>
      </w:r>
      <w:r w:rsidR="002F3A99">
        <w:t>tes</w:t>
      </w:r>
      <w:r w:rsidR="000F4C14">
        <w:t xml:space="preserve"> de livraison</w:t>
      </w:r>
      <w:r w:rsidR="000F4C14">
        <w:br/>
        <w:t>Taxonomie RAN V1.1</w:t>
      </w:r>
      <w:r w:rsidR="0099131E">
        <w:t>.0</w:t>
      </w:r>
    </w:p>
    <w:p w:rsidR="00A33FDC" w:rsidRDefault="000F4C14" w:rsidP="00A33FDC">
      <w:pPr>
        <w:jc w:val="center"/>
      </w:pPr>
      <w:r>
        <w:t>2017</w:t>
      </w:r>
      <w:r w:rsidR="00A33FDC">
        <w:t>-</w:t>
      </w:r>
      <w:r>
        <w:t>0</w:t>
      </w:r>
      <w:r w:rsidR="00E1201F">
        <w:t>9</w:t>
      </w:r>
      <w:r>
        <w:t>-2</w:t>
      </w:r>
      <w:r w:rsidR="00E1201F">
        <w:t>9</w:t>
      </w:r>
      <w:r w:rsidR="00A33FDC">
        <w:t xml:space="preserve"> – R1.00</w:t>
      </w:r>
    </w:p>
    <w:p w:rsidR="00A33FDC" w:rsidRDefault="00A33FDC" w:rsidP="00A33FDC">
      <w:pPr>
        <w:jc w:val="center"/>
      </w:pPr>
    </w:p>
    <w:p w:rsidR="00DE79C9" w:rsidRDefault="00DE79C9" w:rsidP="00DE79C9"/>
    <w:p w:rsidR="00DE79C9" w:rsidRDefault="000F4C14" w:rsidP="00DE79C9">
      <w:r>
        <w:t>La taxonomie RAN V.1.1</w:t>
      </w:r>
      <w:r w:rsidR="0099131E">
        <w:t>.0, deuxième version du « Reporting Assurance National », entre en vigueur à partir de l’arrêté du 31 décembre 2017.</w:t>
      </w:r>
    </w:p>
    <w:p w:rsidR="00DE79C9" w:rsidRDefault="00DE79C9" w:rsidP="00DE79C9"/>
    <w:p w:rsidR="00DE79C9" w:rsidRDefault="00DE79C9" w:rsidP="00DE79C9">
      <w:r>
        <w:t>Dans le paquetage joint, vous trouverez :</w:t>
      </w:r>
    </w:p>
    <w:p w:rsidR="00DE79C9" w:rsidRDefault="00DE79C9" w:rsidP="00DE79C9">
      <w:pPr>
        <w:pStyle w:val="Paragraphedeliste"/>
        <w:numPr>
          <w:ilvl w:val="0"/>
          <w:numId w:val="1"/>
        </w:numPr>
      </w:pPr>
      <w:r>
        <w:t>Répertoire doc</w:t>
      </w:r>
    </w:p>
    <w:p w:rsidR="00DE79C9" w:rsidRDefault="00DE79C9" w:rsidP="00204340">
      <w:pPr>
        <w:pStyle w:val="Paragraphedeliste"/>
        <w:numPr>
          <w:ilvl w:val="1"/>
          <w:numId w:val="1"/>
        </w:numPr>
      </w:pPr>
      <w:r>
        <w:t xml:space="preserve">Les fichiers du DPM RAN, dictionnaire </w:t>
      </w:r>
      <w:r w:rsidR="00204340">
        <w:t>(</w:t>
      </w:r>
      <w:r w:rsidR="00204340" w:rsidRPr="00204340">
        <w:t>ACPR_RAN_DPM_Dictionary_v1.1.0.xlsx</w:t>
      </w:r>
      <w:r w:rsidR="00204340">
        <w:t xml:space="preserve">) </w:t>
      </w:r>
      <w:r>
        <w:t>et états annotés</w:t>
      </w:r>
      <w:r w:rsidR="00204340">
        <w:t xml:space="preserve"> (</w:t>
      </w:r>
      <w:r w:rsidR="00204340" w:rsidRPr="00204340">
        <w:t>ACPR_RAN_DPM_Annotated_Templates_v1.1.0.xlsx</w:t>
      </w:r>
      <w:r w:rsidR="00204340">
        <w:t>)</w:t>
      </w:r>
      <w:r>
        <w:t xml:space="preserve">, qui complètent le DPM de la taxonomie </w:t>
      </w:r>
      <w:r w:rsidR="00E1201F">
        <w:t>EIOPA</w:t>
      </w:r>
      <w:r>
        <w:t>.</w:t>
      </w:r>
      <w:r w:rsidR="00E1201F">
        <w:t xml:space="preserve"> Un document </w:t>
      </w:r>
      <w:r w:rsidR="00204340">
        <w:t>(</w:t>
      </w:r>
      <w:r w:rsidR="00204340" w:rsidRPr="00204340">
        <w:t>ACPR_RAN_DPM_Annotated_Templates_v1.1.0_Modifications_vs_v1.0.xlsx</w:t>
      </w:r>
      <w:r w:rsidR="00204340">
        <w:t xml:space="preserve">) </w:t>
      </w:r>
      <w:r w:rsidR="00E1201F">
        <w:t>liste les différences entre la V1.0 et V1.1 de la taxonomie.</w:t>
      </w:r>
    </w:p>
    <w:p w:rsidR="00DE79C9" w:rsidRDefault="00DE79C9" w:rsidP="00204340">
      <w:pPr>
        <w:pStyle w:val="Paragraphedeliste"/>
        <w:numPr>
          <w:ilvl w:val="1"/>
          <w:numId w:val="1"/>
        </w:numPr>
      </w:pPr>
      <w:r>
        <w:t>Un document décrivant la taxonomie</w:t>
      </w:r>
      <w:r w:rsidR="00204340">
        <w:t xml:space="preserve"> (</w:t>
      </w:r>
      <w:r w:rsidR="00204340" w:rsidRPr="00204340">
        <w:t>ACPR_RAN_Description_de_la_taxonomie_V1.1.0.docx</w:t>
      </w:r>
      <w:r w:rsidR="00204340">
        <w:t>)</w:t>
      </w:r>
      <w:r>
        <w:t>, à utiliser en complément de la documentation de l’</w:t>
      </w:r>
      <w:r w:rsidR="00E1201F">
        <w:t>EIOPA</w:t>
      </w:r>
      <w:r>
        <w:t>.</w:t>
      </w:r>
    </w:p>
    <w:p w:rsidR="002F3A99" w:rsidRDefault="002F3A99" w:rsidP="00204340">
      <w:pPr>
        <w:pStyle w:val="Paragraphedeliste"/>
        <w:numPr>
          <w:ilvl w:val="1"/>
          <w:numId w:val="1"/>
        </w:numPr>
      </w:pPr>
      <w:r>
        <w:t>Un document listant les validations et les données apparaissant plusieurs fois dans les états</w:t>
      </w:r>
      <w:r w:rsidR="00204340">
        <w:t xml:space="preserve"> (</w:t>
      </w:r>
      <w:r w:rsidR="00204340" w:rsidRPr="00204340">
        <w:t>ACPR_RAN_Validations_V1.1.0.xlsx</w:t>
      </w:r>
      <w:r w:rsidR="00204340">
        <w:t>)</w:t>
      </w:r>
      <w:bookmarkStart w:id="0" w:name="_GoBack"/>
      <w:bookmarkEnd w:id="0"/>
      <w:r>
        <w:t>.</w:t>
      </w:r>
    </w:p>
    <w:p w:rsidR="002F3A99" w:rsidRDefault="002F3A99" w:rsidP="00DE79C9">
      <w:pPr>
        <w:pStyle w:val="Paragraphedeliste"/>
        <w:numPr>
          <w:ilvl w:val="1"/>
          <w:numId w:val="1"/>
        </w:numPr>
      </w:pPr>
      <w:r>
        <w:t>Ce document.</w:t>
      </w:r>
    </w:p>
    <w:p w:rsidR="00DE79C9" w:rsidRDefault="00DE79C9" w:rsidP="00DE79C9">
      <w:pPr>
        <w:pStyle w:val="Paragraphedeliste"/>
        <w:numPr>
          <w:ilvl w:val="0"/>
          <w:numId w:val="1"/>
        </w:numPr>
      </w:pPr>
      <w:r>
        <w:t xml:space="preserve">Répertoire </w:t>
      </w:r>
      <w:proofErr w:type="spellStart"/>
      <w:r w:rsidR="00AD5918">
        <w:t>taxonomy</w:t>
      </w:r>
      <w:proofErr w:type="spellEnd"/>
    </w:p>
    <w:p w:rsidR="00DE79C9" w:rsidRDefault="00DE79C9" w:rsidP="00AD5918">
      <w:pPr>
        <w:pStyle w:val="Paragraphedeliste"/>
        <w:numPr>
          <w:ilvl w:val="1"/>
          <w:numId w:val="1"/>
        </w:numPr>
      </w:pPr>
      <w:r>
        <w:t>La taxonomie, dans un paquetage incluant les éléments externes utilisés (</w:t>
      </w:r>
      <w:r w:rsidR="00E1201F">
        <w:t>EIOPA</w:t>
      </w:r>
      <w:r>
        <w:t>, Eurofiling et XBRL International).</w:t>
      </w:r>
    </w:p>
    <w:p w:rsidR="00AD5918" w:rsidRDefault="00AD5918" w:rsidP="00DE79C9">
      <w:pPr>
        <w:pStyle w:val="Paragraphedeliste"/>
        <w:numPr>
          <w:ilvl w:val="0"/>
          <w:numId w:val="1"/>
        </w:numPr>
      </w:pPr>
      <w:r>
        <w:t>Répertoire instances</w:t>
      </w:r>
    </w:p>
    <w:p w:rsidR="00A33FDC" w:rsidRDefault="00DE79C9" w:rsidP="00AD5918">
      <w:pPr>
        <w:pStyle w:val="Paragraphedeliste"/>
        <w:numPr>
          <w:ilvl w:val="1"/>
          <w:numId w:val="1"/>
        </w:numPr>
      </w:pPr>
      <w:r>
        <w:t>Des instances squelettes, comportant l’ensemble des faits possible</w:t>
      </w:r>
      <w:r w:rsidR="00AD5918">
        <w:t>s</w:t>
      </w:r>
      <w:r>
        <w:t>,</w:t>
      </w:r>
      <w:r w:rsidR="00A33FDC">
        <w:t xml:space="preserve"> pour le point d’entrée </w:t>
      </w:r>
      <w:r>
        <w:t xml:space="preserve">avec des données </w:t>
      </w:r>
      <w:r w:rsidR="00E1201F">
        <w:t xml:space="preserve">à </w:t>
      </w:r>
      <w:r w:rsidR="00AD5918">
        <w:t>zéro</w:t>
      </w:r>
      <w:r>
        <w:t>, sans cohérence métier.</w:t>
      </w:r>
      <w:r w:rsidR="00A33FDC">
        <w:br/>
      </w:r>
    </w:p>
    <w:p w:rsidR="00DE79C9" w:rsidRDefault="00A33FDC" w:rsidP="00A33FDC">
      <w:pPr>
        <w:pStyle w:val="Paragraphedeliste"/>
        <w:ind w:left="2124" w:hanging="684"/>
      </w:pPr>
      <w:r>
        <w:t>Note :</w:t>
      </w:r>
      <w:r>
        <w:tab/>
        <w:t>Bien sûr, seul le point d’entrée global pourra être utilisé dans les remises réelles.</w:t>
      </w:r>
    </w:p>
    <w:p w:rsidR="00AD5918" w:rsidRDefault="00AD5918" w:rsidP="00DE79C9">
      <w:pPr>
        <w:pStyle w:val="Paragraphedeliste"/>
        <w:numPr>
          <w:ilvl w:val="0"/>
          <w:numId w:val="1"/>
        </w:numPr>
      </w:pPr>
      <w:r>
        <w:t xml:space="preserve">Répertoire </w:t>
      </w:r>
      <w:proofErr w:type="spellStart"/>
      <w:r>
        <w:t>bcdl</w:t>
      </w:r>
      <w:proofErr w:type="spellEnd"/>
    </w:p>
    <w:p w:rsidR="00DE79C9" w:rsidRDefault="00DE79C9" w:rsidP="00AD5918">
      <w:pPr>
        <w:pStyle w:val="Paragraphedeliste"/>
        <w:numPr>
          <w:ilvl w:val="1"/>
          <w:numId w:val="1"/>
        </w:numPr>
      </w:pPr>
      <w:r>
        <w:t xml:space="preserve">Des fichiers produits lors de la génération des assertions  donnant, notamment, la correspondance avec la codification </w:t>
      </w:r>
      <w:r>
        <w:rPr>
          <w:i/>
          <w:iCs/>
        </w:rPr>
        <w:t>RC</w:t>
      </w:r>
      <w:r>
        <w:t xml:space="preserve"> (</w:t>
      </w:r>
      <w:proofErr w:type="spellStart"/>
      <w:r>
        <w:rPr>
          <w:i/>
          <w:iCs/>
        </w:rPr>
        <w:t>Row-Column</w:t>
      </w:r>
      <w:proofErr w:type="spellEnd"/>
      <w:r>
        <w:t>) utilisée par l’</w:t>
      </w:r>
      <w:r w:rsidR="00E1201F">
        <w:t>EIOPA</w:t>
      </w:r>
      <w:r>
        <w:t>.</w:t>
      </w:r>
    </w:p>
    <w:p w:rsidR="00DE79C9" w:rsidRDefault="00DE79C9" w:rsidP="00DE79C9"/>
    <w:p w:rsidR="00DE79C9" w:rsidRDefault="00DE79C9" w:rsidP="00DE79C9">
      <w:r>
        <w:t>Certaines décisions peuvent être discutées. Faîtes-nous part de vos commentaires éventuels :</w:t>
      </w:r>
    </w:p>
    <w:p w:rsidR="00DE79C9" w:rsidRDefault="00DE79C9" w:rsidP="00DE79C9">
      <w:pPr>
        <w:pStyle w:val="Paragraphedeliste"/>
        <w:numPr>
          <w:ilvl w:val="0"/>
          <w:numId w:val="2"/>
        </w:numPr>
      </w:pPr>
      <w:r>
        <w:t>Organisation des assertions</w:t>
      </w:r>
    </w:p>
    <w:p w:rsidR="00DE79C9" w:rsidRDefault="00DE79C9" w:rsidP="00DE79C9">
      <w:pPr>
        <w:pStyle w:val="Paragraphedeliste"/>
      </w:pPr>
      <w:r>
        <w:t>L’</w:t>
      </w:r>
      <w:r w:rsidR="00E1201F">
        <w:t>EIOPA</w:t>
      </w:r>
      <w:r>
        <w:t xml:space="preserve"> définit trois fichiers par assertion (fichiers assertion XBRL, libellé et message d’erreur), ce qui conduit à </w:t>
      </w:r>
      <w:r w:rsidR="002F3A99">
        <w:t xml:space="preserve">plus de </w:t>
      </w:r>
      <w:r w:rsidR="00A72AB1">
        <w:t>21000 fichiers (486</w:t>
      </w:r>
      <w:r w:rsidR="0085518B">
        <w:t xml:space="preserve"> M</w:t>
      </w:r>
      <w:r>
        <w:t>o</w:t>
      </w:r>
      <w:r w:rsidR="00A72AB1">
        <w:t xml:space="preserve"> pour 5000</w:t>
      </w:r>
      <w:r w:rsidR="00BE31DA">
        <w:t xml:space="preserve"> assertions</w:t>
      </w:r>
      <w:r>
        <w:t xml:space="preserve">) pour la taxonomie Solvabilité II. Nous avons retenu une solution type taxonomie SURFI qui regroupe toutes les assertions liées à un état, ou à une combinaison d’états, dans un même fichier, ce qui permet de gagner de la place, </w:t>
      </w:r>
      <w:r w:rsidR="00A72AB1">
        <w:t>moins de 100 fichiers (30</w:t>
      </w:r>
      <w:r w:rsidR="0085518B">
        <w:t xml:space="preserve"> M</w:t>
      </w:r>
      <w:r>
        <w:t>o</w:t>
      </w:r>
      <w:r w:rsidR="00A72AB1">
        <w:t xml:space="preserve"> pour 7500</w:t>
      </w:r>
      <w:r w:rsidR="00BE31DA">
        <w:t xml:space="preserve"> assertions</w:t>
      </w:r>
      <w:r>
        <w:t>) et d’obtenir de meilleures performances en mutualisant certains éléments.</w:t>
      </w:r>
    </w:p>
    <w:p w:rsidR="00DE79C9" w:rsidRDefault="00DE79C9" w:rsidP="00DE79C9">
      <w:pPr>
        <w:pStyle w:val="Paragraphedeliste"/>
      </w:pPr>
    </w:p>
    <w:p w:rsidR="00DE79C9" w:rsidRDefault="00DE79C9" w:rsidP="00DE79C9">
      <w:pPr>
        <w:pStyle w:val="Paragraphedeliste"/>
        <w:ind w:left="0"/>
      </w:pPr>
      <w:r>
        <w:t>Remarques et limitations</w:t>
      </w:r>
    </w:p>
    <w:p w:rsidR="00DE79C9" w:rsidRDefault="002F3A99" w:rsidP="00DE79C9">
      <w:pPr>
        <w:pStyle w:val="Paragraphedeliste"/>
        <w:numPr>
          <w:ilvl w:val="0"/>
          <w:numId w:val="3"/>
        </w:numPr>
        <w:rPr>
          <w:color w:val="000000"/>
          <w:lang w:eastAsia="fr-FR"/>
        </w:rPr>
      </w:pPr>
      <w:r>
        <w:rPr>
          <w:color w:val="000000"/>
          <w:lang w:eastAsia="fr-FR"/>
        </w:rPr>
        <w:t>Des assertions pourront être ajoutées dans les prochaines révisions de cette taxonomie.</w:t>
      </w:r>
    </w:p>
    <w:p w:rsidR="00DE79C9" w:rsidRDefault="00DE79C9" w:rsidP="00DE79C9">
      <w:pPr>
        <w:pStyle w:val="Paragraphedeliste"/>
      </w:pPr>
    </w:p>
    <w:sectPr w:rsidR="00DE7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02" w:rsidRDefault="00B92402" w:rsidP="00AD5918">
      <w:r>
        <w:separator/>
      </w:r>
    </w:p>
  </w:endnote>
  <w:endnote w:type="continuationSeparator" w:id="0">
    <w:p w:rsidR="00B92402" w:rsidRDefault="00B92402" w:rsidP="00A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607658"/>
      <w:docPartObj>
        <w:docPartGallery w:val="Page Numbers (Bottom of Page)"/>
        <w:docPartUnique/>
      </w:docPartObj>
    </w:sdtPr>
    <w:sdtEndPr/>
    <w:sdtContent>
      <w:p w:rsidR="00AD5918" w:rsidRDefault="00AD591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40">
          <w:rPr>
            <w:noProof/>
          </w:rPr>
          <w:t>1</w:t>
        </w:r>
        <w:r>
          <w:fldChar w:fldCharType="end"/>
        </w:r>
      </w:p>
    </w:sdtContent>
  </w:sdt>
  <w:p w:rsidR="00AD5918" w:rsidRDefault="00AD59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02" w:rsidRDefault="00B92402" w:rsidP="00AD5918">
      <w:r>
        <w:separator/>
      </w:r>
    </w:p>
  </w:footnote>
  <w:footnote w:type="continuationSeparator" w:id="0">
    <w:p w:rsidR="00B92402" w:rsidRDefault="00B92402" w:rsidP="00AD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2D7"/>
    <w:multiLevelType w:val="hybridMultilevel"/>
    <w:tmpl w:val="00C28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A00C8"/>
    <w:multiLevelType w:val="hybridMultilevel"/>
    <w:tmpl w:val="C6646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3F5C"/>
    <w:multiLevelType w:val="hybridMultilevel"/>
    <w:tmpl w:val="D4A2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9"/>
    <w:rsid w:val="00017A3B"/>
    <w:rsid w:val="000B48B9"/>
    <w:rsid w:val="000F4C14"/>
    <w:rsid w:val="00204340"/>
    <w:rsid w:val="00222576"/>
    <w:rsid w:val="00287CA8"/>
    <w:rsid w:val="002F3A99"/>
    <w:rsid w:val="00305ED4"/>
    <w:rsid w:val="004F37B5"/>
    <w:rsid w:val="00604E4B"/>
    <w:rsid w:val="00681F2F"/>
    <w:rsid w:val="006C4513"/>
    <w:rsid w:val="006F4B4E"/>
    <w:rsid w:val="007104A9"/>
    <w:rsid w:val="0085518B"/>
    <w:rsid w:val="0099131E"/>
    <w:rsid w:val="009B1BC6"/>
    <w:rsid w:val="009D38A0"/>
    <w:rsid w:val="00A33FDC"/>
    <w:rsid w:val="00A510C0"/>
    <w:rsid w:val="00A72AB1"/>
    <w:rsid w:val="00AD5918"/>
    <w:rsid w:val="00B92402"/>
    <w:rsid w:val="00BE25FB"/>
    <w:rsid w:val="00BE31DA"/>
    <w:rsid w:val="00D16AB5"/>
    <w:rsid w:val="00DE79C9"/>
    <w:rsid w:val="00E1201F"/>
    <w:rsid w:val="00E57B2B"/>
    <w:rsid w:val="00F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9C9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91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918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287C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9C9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91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918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287C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C74-6E91-4E6F-954C-0697F081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D1C93013.dotm</Template>
  <TotalTime>207</TotalTime>
  <Pages>1</Pages>
  <Words>304</Words>
  <Characters>1905</Characters>
  <Application>Microsoft Office Word</Application>
  <DocSecurity>0</DocSecurity>
  <Lines>45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MOAL JOUBEL</dc:creator>
  <cp:lastModifiedBy>Eric JARRY</cp:lastModifiedBy>
  <cp:revision>15</cp:revision>
  <dcterms:created xsi:type="dcterms:W3CDTF">2016-04-29T15:23:00Z</dcterms:created>
  <dcterms:modified xsi:type="dcterms:W3CDTF">2017-09-28T15:24:00Z</dcterms:modified>
</cp:coreProperties>
</file>