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B0" w:rsidRDefault="0078526B" w:rsidP="008F3EC2">
      <w:pPr>
        <w:jc w:val="center"/>
        <w:rPr>
          <w:rFonts w:ascii="Arial" w:hAnsi="Arial" w:cs="Arial"/>
          <w:b/>
          <w:sz w:val="32"/>
          <w:szCs w:val="32"/>
        </w:rPr>
      </w:pPr>
      <w:r w:rsidRPr="008F3EC2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0BDEDCCE" wp14:editId="7FC98B59">
            <wp:simplePos x="0" y="0"/>
            <wp:positionH relativeFrom="column">
              <wp:posOffset>-561975</wp:posOffset>
            </wp:positionH>
            <wp:positionV relativeFrom="paragraph">
              <wp:posOffset>-263525</wp:posOffset>
            </wp:positionV>
            <wp:extent cx="1323975" cy="1181100"/>
            <wp:effectExtent l="19050" t="0" r="9525" b="0"/>
            <wp:wrapNone/>
            <wp:docPr id="2" name="Image 2" descr="logoACPR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PR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B0" w:rsidRDefault="007C0EB0" w:rsidP="008F3EC2">
      <w:pPr>
        <w:jc w:val="center"/>
        <w:rPr>
          <w:rFonts w:ascii="Arial" w:hAnsi="Arial" w:cs="Arial"/>
          <w:b/>
          <w:sz w:val="32"/>
          <w:szCs w:val="32"/>
        </w:rPr>
      </w:pPr>
    </w:p>
    <w:p w:rsidR="007C0EB0" w:rsidRDefault="007C0EB0" w:rsidP="008F3EC2">
      <w:pPr>
        <w:jc w:val="center"/>
        <w:rPr>
          <w:rFonts w:ascii="Arial" w:hAnsi="Arial" w:cs="Arial"/>
          <w:b/>
          <w:sz w:val="32"/>
          <w:szCs w:val="32"/>
        </w:rPr>
      </w:pPr>
    </w:p>
    <w:p w:rsidR="00AE4AC9" w:rsidRPr="008F3EC2" w:rsidRDefault="00DA5DB8" w:rsidP="008F3EC2">
      <w:pPr>
        <w:jc w:val="center"/>
        <w:rPr>
          <w:rFonts w:ascii="Arial" w:hAnsi="Arial" w:cs="Arial"/>
          <w:b/>
          <w:sz w:val="32"/>
          <w:szCs w:val="32"/>
        </w:rPr>
      </w:pPr>
      <w:r w:rsidRPr="008F3EC2">
        <w:rPr>
          <w:rFonts w:ascii="Arial" w:hAnsi="Arial" w:cs="Arial"/>
          <w:b/>
          <w:sz w:val="32"/>
          <w:szCs w:val="32"/>
        </w:rPr>
        <w:t xml:space="preserve"> </w:t>
      </w:r>
    </w:p>
    <w:p w:rsid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180CCE" w:rsidRDefault="00180CCE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56"/>
          <w:szCs w:val="56"/>
          <w:lang w:eastAsia="fr-FR"/>
        </w:rPr>
      </w:pPr>
    </w:p>
    <w:p w:rsidR="007C0EB0" w:rsidRPr="007C0EB0" w:rsidRDefault="001F382A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  <w:t>Remises Solvabilité II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Default="001F382A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Expression </w:t>
      </w:r>
      <w:r w:rsidR="00905422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des énumérations</w:t>
      </w:r>
    </w:p>
    <w:p w:rsidR="00774FC7" w:rsidRPr="007C0EB0" w:rsidRDefault="00774FC7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dans les instances XBRL</w:t>
      </w:r>
      <w:r w:rsidR="00FC764C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 et précisions sur les règles de remise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905422" w:rsidP="007C0EB0">
      <w:pPr>
        <w:spacing w:before="340" w:after="0" w:line="440" w:lineRule="exact"/>
        <w:jc w:val="center"/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</w:pPr>
      <w:r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Juillet 2</w:t>
      </w:r>
      <w:r w:rsidR="007C0EB0" w:rsidRPr="007C0EB0"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01</w:t>
      </w:r>
      <w:r w:rsidR="007C0EB0"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5</w:t>
      </w: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180CCE" w:rsidRDefault="00180CCE">
      <w:pPr>
        <w:spacing w:before="0" w:after="0"/>
        <w:rPr>
          <w:rFonts w:ascii="Univers" w:eastAsia="Times New Roman" w:hAnsi="Univers"/>
          <w:sz w:val="22"/>
          <w:szCs w:val="20"/>
          <w:lang w:eastAsia="fr-FR"/>
        </w:rPr>
      </w:pPr>
      <w:r>
        <w:rPr>
          <w:rFonts w:ascii="Univers" w:eastAsia="Times New Roman" w:hAnsi="Univers"/>
          <w:sz w:val="22"/>
          <w:szCs w:val="20"/>
          <w:lang w:eastAsia="fr-FR"/>
        </w:rPr>
        <w:br w:type="page"/>
      </w:r>
    </w:p>
    <w:p w:rsidR="00180CCE" w:rsidRPr="00180CCE" w:rsidRDefault="00180CCE" w:rsidP="00180CCE">
      <w:pPr>
        <w:spacing w:before="0" w:after="0"/>
        <w:jc w:val="both"/>
        <w:rPr>
          <w:rFonts w:ascii="Univers" w:eastAsia="Times New Roman" w:hAnsi="Univers"/>
          <w:sz w:val="20"/>
          <w:szCs w:val="20"/>
          <w:lang w:eastAsia="fr-FR"/>
        </w:rPr>
        <w:sectPr w:rsidR="00180CCE" w:rsidRPr="00180CCE" w:rsidSect="00B11EAC">
          <w:footerReference w:type="default" r:id="rId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180CCE" w:rsidRPr="00836FD6" w:rsidRDefault="00033E5F" w:rsidP="00180CCE">
      <w:pPr>
        <w:keepNext/>
        <w:shd w:val="pct15" w:color="auto" w:fill="FFFFFF"/>
        <w:spacing w:before="480" w:after="120" w:line="280" w:lineRule="exact"/>
        <w:jc w:val="both"/>
        <w:outlineLvl w:val="0"/>
        <w:rPr>
          <w:rFonts w:asciiTheme="minorHAnsi" w:eastAsia="Times New Roman" w:hAnsiTheme="minorHAnsi" w:cstheme="minorHAnsi"/>
          <w:b/>
          <w:sz w:val="32"/>
          <w:szCs w:val="20"/>
          <w:lang w:eastAsia="fr-FR"/>
        </w:rPr>
      </w:pPr>
      <w:r w:rsidRPr="00836FD6">
        <w:rPr>
          <w:rFonts w:asciiTheme="minorHAnsi" w:eastAsia="Times New Roman" w:hAnsiTheme="minorHAnsi" w:cstheme="minorHAnsi"/>
          <w:b/>
          <w:sz w:val="32"/>
          <w:szCs w:val="20"/>
          <w:lang w:eastAsia="fr-FR"/>
        </w:rPr>
        <w:lastRenderedPageBreak/>
        <w:t>Constat sur l’utilisation des énumérations</w:t>
      </w:r>
      <w:r w:rsidR="00717956" w:rsidRPr="00836FD6">
        <w:rPr>
          <w:rFonts w:asciiTheme="minorHAnsi" w:eastAsia="Times New Roman" w:hAnsiTheme="minorHAnsi" w:cstheme="minorHAnsi"/>
          <w:b/>
          <w:sz w:val="32"/>
          <w:szCs w:val="20"/>
          <w:lang w:eastAsia="fr-FR"/>
        </w:rPr>
        <w:t xml:space="preserve"> </w:t>
      </w:r>
    </w:p>
    <w:p w:rsidR="00180CCE" w:rsidRDefault="00180CCE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E3678E" w:rsidRPr="00180CCE" w:rsidRDefault="00E3678E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033E5F" w:rsidRPr="00836FD6" w:rsidRDefault="00180CCE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</w:t>
      </w:r>
      <w:r w:rsidR="001C11D2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e traitement des instances XBRL 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reçues par l’ACPR dans le cadre de</w:t>
      </w:r>
      <w:r w:rsidR="00717956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l’exercice 2015 à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la collecte préparatoire </w:t>
      </w:r>
      <w:r w:rsidR="00717956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Solvabilité II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, 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a mis 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en évidence 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un problème d’expression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des </w:t>
      </w:r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v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aleurs d’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énumérations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dans certaines instances</w:t>
      </w:r>
      <w:r w:rsidR="00033E5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.</w:t>
      </w:r>
    </w:p>
    <w:p w:rsidR="001F382A" w:rsidRDefault="001F382A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1F382A" w:rsidRPr="00836FD6" w:rsidRDefault="00E47354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Une 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énumération est un ensemble de valeurs qui peuvent être prise</w:t>
      </w:r>
      <w:r w:rsidR="00836FD6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s</w:t>
      </w:r>
      <w:r w:rsidR="001F382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par une donnée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, par exemple « Vie » (</w:t>
      </w:r>
      <w:r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Life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) et « Non-Vie » (Non-Life). En XML, le codage utilisé par XBRL, ces valeurs sont codées sous la forme de 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QName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(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Qualified</w:t>
      </w:r>
      <w:proofErr w:type="spellEnd"/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proofErr w:type="spellStart"/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Names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ou 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noms qualifiés). Un 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QName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contient deux données, l’espace de nommage (</w:t>
      </w:r>
      <w:r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 xml:space="preserve">Name </w:t>
      </w:r>
      <w:proofErr w:type="spellStart"/>
      <w:r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Space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) et la valeur.</w:t>
      </w:r>
      <w:r w:rsidR="0082197B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Dans les </w:t>
      </w:r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taxonomies</w:t>
      </w:r>
      <w:r w:rsidR="0082197B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AEAPP, le nom de ce type d’élément commence par « e »</w:t>
      </w:r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(</w:t>
      </w:r>
      <w:proofErr w:type="spellStart"/>
      <w:r w:rsidR="00F56E2F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Enumeration</w:t>
      </w:r>
      <w:proofErr w:type="spellEnd"/>
      <w:r w:rsidR="00F56E2F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)</w:t>
      </w:r>
      <w:r w:rsidR="0082197B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.</w:t>
      </w:r>
    </w:p>
    <w:p w:rsidR="00E47354" w:rsidRPr="00836FD6" w:rsidRDefault="00E47354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C274F0" w:rsidRPr="00836FD6" w:rsidRDefault="00E47354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P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renons pour exemple, la valeur d’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énumération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transmise dans l’élément XML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ei1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070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– 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Fonds tenus en unité de compte ou </w:t>
      </w:r>
      <w:r w:rsidR="0082197B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indexés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(</w:t>
      </w:r>
      <w:proofErr w:type="spellStart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Held</w:t>
      </w:r>
      <w:proofErr w:type="spellEnd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 xml:space="preserve"> in unit </w:t>
      </w:r>
      <w:proofErr w:type="spellStart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linked</w:t>
      </w:r>
      <w:proofErr w:type="spellEnd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 xml:space="preserve"> and index </w:t>
      </w:r>
      <w:proofErr w:type="spellStart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linked</w:t>
      </w:r>
      <w:proofErr w:type="spellEnd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 xml:space="preserve"> </w:t>
      </w:r>
      <w:proofErr w:type="spellStart"/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funds</w:t>
      </w:r>
      <w:proofErr w:type="spellEnd"/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)</w:t>
      </w:r>
      <w:r w:rsidR="006B187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. Cette donnée apparait dans l’onglet « met MD » (Métriques </w:t>
      </w:r>
      <w:proofErr w:type="spellStart"/>
      <w:r w:rsidR="006B187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Modérement</w:t>
      </w:r>
      <w:proofErr w:type="spellEnd"/>
      <w:r w:rsidR="006B187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Dimensionnelle) du dictionnaire DPM (SOL2 DPM Dictionary.xlsx) :</w:t>
      </w:r>
    </w:p>
    <w:p w:rsidR="007F6183" w:rsidRDefault="007F6183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C274F0" w:rsidRDefault="007F6183" w:rsidP="007F6183">
      <w:pPr>
        <w:spacing w:before="0" w:after="0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 w:rsidRPr="007F6183">
        <w:rPr>
          <w:noProof/>
          <w:lang w:eastAsia="fr-FR"/>
        </w:rPr>
        <w:drawing>
          <wp:inline distT="0" distB="0" distL="0" distR="0" wp14:anchorId="2077DA21" wp14:editId="30F7EB79">
            <wp:extent cx="6153150" cy="8192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5053" r="8591"/>
                    <a:stretch/>
                  </pic:blipFill>
                  <pic:spPr bwMode="auto">
                    <a:xfrm>
                      <a:off x="0" y="0"/>
                      <a:ext cx="6152346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4F0" w:rsidRDefault="00C274F0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C274F0" w:rsidRPr="00836FD6" w:rsidRDefault="00C274F0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6B1874" w:rsidRPr="00836FD6" w:rsidRDefault="006B1874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La liste de val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eur correspond à la hiérarchie 4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du domaine 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LB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(</w:t>
      </w:r>
      <w:r w:rsidR="007F6183" w:rsidRPr="00836FD6">
        <w:rPr>
          <w:rFonts w:asciiTheme="minorHAnsi" w:eastAsia="Times New Roman" w:hAnsiTheme="minorHAnsi" w:cstheme="minorHAnsi"/>
          <w:i/>
          <w:sz w:val="22"/>
          <w:szCs w:val="22"/>
          <w:lang w:eastAsia="fr-FR"/>
        </w:rPr>
        <w:t>Line of business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) qui est associé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e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, par construction</w:t>
      </w:r>
      <w:r w:rsidR="0023439A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,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à l’espace de nommage http://eiopa.europa.eu/xbrl/s2c/dict/dom/</w:t>
      </w:r>
      <w:r w:rsidR="007F6183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LB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qui a pour pr</w:t>
      </w:r>
      <w:r w:rsidR="00D6554E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é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fixe canonique (défini dans la taxonomie) s2c_</w:t>
      </w:r>
      <w:r w:rsidR="0082197B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LB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.</w:t>
      </w:r>
    </w:p>
    <w:p w:rsidR="0082197B" w:rsidRPr="00836FD6" w:rsidRDefault="0082197B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82197B" w:rsidRPr="0082197B" w:rsidRDefault="0082197B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5975EC06" wp14:editId="1BEC951F">
            <wp:extent cx="5791200" cy="818613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693" t="66581" r="6115" b="18804"/>
                    <a:stretch/>
                  </pic:blipFill>
                  <pic:spPr bwMode="auto">
                    <a:xfrm>
                      <a:off x="0" y="0"/>
                      <a:ext cx="5793080" cy="81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874" w:rsidRPr="0082197B" w:rsidRDefault="006B1874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 w:rsidRPr="0082197B">
        <w:rPr>
          <w:rFonts w:ascii="Times New Roman" w:eastAsia="Times New Roman" w:hAnsi="Times New Roman"/>
          <w:sz w:val="22"/>
          <w:szCs w:val="22"/>
          <w:lang w:eastAsia="fr-FR"/>
        </w:rPr>
        <w:t xml:space="preserve"> </w:t>
      </w:r>
    </w:p>
    <w:p w:rsidR="0082197B" w:rsidRPr="00836FD6" w:rsidRDefault="0082197B" w:rsidP="00180CCE">
      <w:pPr>
        <w:spacing w:before="0" w:after="0"/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Selon l’onglet « LB » du même document, c</w:t>
      </w:r>
      <w:r w:rsidR="006B187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ette </w:t>
      </w:r>
      <w:r w:rsidR="00465818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hiérarchie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comprend les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libellé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s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, en anglais :</w:t>
      </w:r>
      <w:r w:rsidR="00E4735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« 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Total/NA »</w:t>
      </w:r>
      <w:r w:rsidR="00E4735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, « 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Unit-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linked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or index-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linked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 </w:t>
      </w:r>
      <w:r w:rsidR="00E4735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 » et « 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Neither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unit-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linked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nor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index-</w:t>
      </w:r>
      <w:proofErr w:type="spellStart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linked</w:t>
      </w:r>
      <w:proofErr w:type="spellEnd"/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 </w:t>
      </w:r>
      <w:r w:rsidR="00E47354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»</w:t>
      </w:r>
      <w:r w:rsidR="00C274F0"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, </w:t>
      </w:r>
      <w:r w:rsidRPr="00836FD6">
        <w:rPr>
          <w:rFonts w:asciiTheme="minorHAnsi" w:eastAsia="Times New Roman" w:hAnsiTheme="minorHAnsi" w:cstheme="minorHAnsi"/>
          <w:sz w:val="22"/>
          <w:szCs w:val="22"/>
          <w:lang w:eastAsia="fr-FR"/>
        </w:rPr>
        <w:t>codés, respectivement x0, x119 et x91.</w:t>
      </w:r>
    </w:p>
    <w:p w:rsidR="0082197B" w:rsidRDefault="0082197B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82197B" w:rsidRPr="00FC78B0" w:rsidRDefault="0082197B" w:rsidP="00180CCE">
      <w:pPr>
        <w:spacing w:before="0" w:after="0"/>
        <w:ind w:firstLine="284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FC78B0">
        <w:rPr>
          <w:rFonts w:asciiTheme="minorHAnsi" w:eastAsia="Times New Roman" w:hAnsiTheme="minorHAnsi" w:cstheme="minorHAnsi"/>
          <w:sz w:val="22"/>
          <w:szCs w:val="22"/>
          <w:lang w:eastAsia="fr-FR"/>
        </w:rPr>
        <w:t>Cependant le document Règles de remise de l’AEAPP pour les remises préparatoires (</w:t>
      </w:r>
      <w:r w:rsidRPr="00FC78B0">
        <w:rPr>
          <w:rFonts w:asciiTheme="minorHAnsi" w:hAnsiTheme="minorHAnsi" w:cstheme="minorHAnsi"/>
          <w:sz w:val="22"/>
          <w:szCs w:val="22"/>
        </w:rPr>
        <w:t xml:space="preserve">à l’adresse </w:t>
      </w:r>
      <w:hyperlink r:id="rId12" w:history="1">
        <w:r w:rsidRPr="00FC78B0">
          <w:rPr>
            <w:rStyle w:val="Lienhypertexte"/>
            <w:rFonts w:asciiTheme="minorHAnsi" w:hAnsiTheme="minorHAnsi" w:cstheme="minorHAnsi"/>
            <w:sz w:val="22"/>
            <w:szCs w:val="22"/>
          </w:rPr>
          <w:t>https://dev.eiopa.europa.eu/Taxonomy/Preparatory/Common/EIOPA%20SII%20Preparatory%20Filing%20Rules.pdf</w:t>
        </w:r>
      </w:hyperlink>
      <w:r w:rsidR="00FC78B0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FC78B0">
        <w:rPr>
          <w:rFonts w:asciiTheme="minorHAnsi" w:hAnsiTheme="minorHAnsi" w:cstheme="minorHAnsi"/>
          <w:sz w:val="22"/>
          <w:szCs w:val="22"/>
        </w:rPr>
        <w:t>) précise, page 17, que la valeur « Total/NA » ne doit pas être rapportée</w:t>
      </w:r>
      <w:r w:rsidRPr="00FC78B0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:rsidR="0082197B" w:rsidRDefault="0082197B" w:rsidP="00180CCE">
      <w:pPr>
        <w:spacing w:before="0" w:after="0"/>
        <w:ind w:firstLine="284"/>
        <w:jc w:val="both"/>
        <w:rPr>
          <w:rFonts w:cs="Calibri"/>
          <w:color w:val="1F497D"/>
          <w:sz w:val="22"/>
          <w:szCs w:val="22"/>
        </w:rPr>
      </w:pPr>
    </w:p>
    <w:p w:rsidR="0082197B" w:rsidRPr="00FC78B0" w:rsidRDefault="0082197B" w:rsidP="00180CCE">
      <w:pPr>
        <w:spacing w:before="0" w:after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C78B0">
        <w:rPr>
          <w:rFonts w:asciiTheme="minorHAnsi" w:hAnsiTheme="minorHAnsi" w:cstheme="minorHAnsi"/>
          <w:sz w:val="22"/>
          <w:szCs w:val="22"/>
        </w:rPr>
        <w:t>Donc, si un élément ei1070 doit être remis :</w:t>
      </w:r>
    </w:p>
    <w:p w:rsidR="0023439A" w:rsidRPr="00FC78B0" w:rsidRDefault="0023439A" w:rsidP="0023439A">
      <w:pPr>
        <w:numPr>
          <w:ilvl w:val="0"/>
          <w:numId w:val="9"/>
        </w:numPr>
        <w:spacing w:before="0" w:after="0"/>
        <w:jc w:val="both"/>
        <w:rPr>
          <w:rFonts w:cs="Calibri"/>
          <w:sz w:val="22"/>
          <w:szCs w:val="22"/>
        </w:rPr>
      </w:pPr>
      <w:r w:rsidRPr="00FC78B0">
        <w:rPr>
          <w:rFonts w:asciiTheme="minorHAnsi" w:hAnsiTheme="minorHAnsi" w:cstheme="minorHAnsi"/>
          <w:sz w:val="22"/>
          <w:szCs w:val="22"/>
        </w:rPr>
        <w:t xml:space="preserve">L’espace de nommage </w:t>
      </w:r>
      <w:r w:rsidRPr="00FC78B0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http://eiopa.europa.eu/xbrl/s2c/dict/dom/LB  doit être défini dans l’élément </w:t>
      </w:r>
      <w:proofErr w:type="spellStart"/>
      <w:r w:rsidRPr="00FC78B0">
        <w:rPr>
          <w:rFonts w:asciiTheme="minorHAnsi" w:eastAsia="Times New Roman" w:hAnsiTheme="minorHAnsi" w:cstheme="minorHAnsi"/>
          <w:sz w:val="22"/>
          <w:szCs w:val="22"/>
          <w:lang w:eastAsia="fr-FR"/>
        </w:rPr>
        <w:t>xbrli:xbrl</w:t>
      </w:r>
      <w:proofErr w:type="spellEnd"/>
      <w:r w:rsidRPr="00FC78B0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et associé à son préfixe canonique « LB », par exemple :</w:t>
      </w:r>
      <w:r w:rsidRPr="00FC78B0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Pr="00FC78B0">
        <w:rPr>
          <w:rFonts w:asciiTheme="minorHAnsi" w:eastAsia="Times New Roman" w:hAnsiTheme="minorHAnsi" w:cstheme="minorHAnsi"/>
          <w:sz w:val="22"/>
          <w:szCs w:val="22"/>
          <w:lang w:eastAsia="fr-FR"/>
        </w:rPr>
        <w:br/>
      </w:r>
      <w:r w:rsidRPr="00FC78B0">
        <w:rPr>
          <w:rFonts w:cs="Calibri"/>
          <w:sz w:val="22"/>
          <w:szCs w:val="22"/>
        </w:rPr>
        <w:t>&lt;</w:t>
      </w:r>
      <w:proofErr w:type="spellStart"/>
      <w:r w:rsidRPr="00FC78B0">
        <w:rPr>
          <w:rFonts w:cs="Calibri"/>
          <w:sz w:val="22"/>
          <w:szCs w:val="22"/>
        </w:rPr>
        <w:t>xbrli</w:t>
      </w:r>
      <w:proofErr w:type="spellEnd"/>
      <w:r w:rsidRPr="00FC78B0">
        <w:rPr>
          <w:rFonts w:cs="Calibri"/>
          <w:sz w:val="22"/>
          <w:szCs w:val="22"/>
        </w:rPr>
        <w:t> </w:t>
      </w:r>
      <w:proofErr w:type="gramStart"/>
      <w:r w:rsidRPr="00FC78B0">
        <w:rPr>
          <w:rFonts w:cs="Calibri"/>
          <w:sz w:val="22"/>
          <w:szCs w:val="22"/>
        </w:rPr>
        <w:t>:</w:t>
      </w:r>
      <w:proofErr w:type="spellStart"/>
      <w:r w:rsidRPr="00FC78B0">
        <w:rPr>
          <w:rFonts w:cs="Calibri"/>
          <w:sz w:val="22"/>
          <w:szCs w:val="22"/>
        </w:rPr>
        <w:t>xbrl</w:t>
      </w:r>
      <w:proofErr w:type="spellEnd"/>
      <w:proofErr w:type="gramEnd"/>
      <w:r w:rsidRPr="00FC78B0">
        <w:rPr>
          <w:rFonts w:cs="Calibri"/>
          <w:sz w:val="22"/>
          <w:szCs w:val="22"/>
        </w:rPr>
        <w:t xml:space="preserve"> … xmlns:s2c_LB=</w:t>
      </w:r>
      <w:hyperlink r:id="rId13" w:history="1">
        <w:r w:rsidRPr="00FC78B0">
          <w:rPr>
            <w:rStyle w:val="Lienhypertexte"/>
            <w:rFonts w:cs="Calibri"/>
            <w:color w:val="auto"/>
            <w:sz w:val="22"/>
            <w:szCs w:val="22"/>
          </w:rPr>
          <w:t>http://eiopa.europa.eu/xbrl/s2c/dict/dom/LB</w:t>
        </w:r>
      </w:hyperlink>
      <w:r w:rsidRPr="00FC78B0">
        <w:rPr>
          <w:rFonts w:cs="Calibri"/>
          <w:sz w:val="22"/>
          <w:szCs w:val="22"/>
        </w:rPr>
        <w:t xml:space="preserve"> ….&gt;</w:t>
      </w:r>
    </w:p>
    <w:p w:rsidR="0023439A" w:rsidRPr="00FC78B0" w:rsidRDefault="0023439A" w:rsidP="0023439A">
      <w:pPr>
        <w:numPr>
          <w:ilvl w:val="0"/>
          <w:numId w:val="9"/>
        </w:numPr>
        <w:spacing w:before="0" w:after="0"/>
        <w:jc w:val="both"/>
        <w:rPr>
          <w:rFonts w:cs="Calibri"/>
          <w:sz w:val="22"/>
          <w:szCs w:val="22"/>
        </w:rPr>
      </w:pPr>
      <w:r w:rsidRPr="00FC78B0">
        <w:rPr>
          <w:rFonts w:cs="Calibri"/>
          <w:sz w:val="22"/>
          <w:szCs w:val="22"/>
        </w:rPr>
        <w:t>Le texte « s2c_LB:x119 » ou « s2c_LB:x91 » doit être utilisé, par exemple</w:t>
      </w:r>
      <w:r w:rsidRPr="00FC78B0">
        <w:rPr>
          <w:rFonts w:cs="Calibri"/>
          <w:sz w:val="22"/>
          <w:szCs w:val="22"/>
        </w:rPr>
        <w:tab/>
      </w:r>
      <w:r w:rsidRPr="00FC78B0">
        <w:rPr>
          <w:rFonts w:cs="Calibri"/>
          <w:sz w:val="22"/>
          <w:szCs w:val="22"/>
        </w:rPr>
        <w:br/>
        <w:t xml:space="preserve">&lt;s2_md:e1070 </w:t>
      </w:r>
      <w:proofErr w:type="spellStart"/>
      <w:r w:rsidR="00F56E2F" w:rsidRPr="00FC78B0">
        <w:rPr>
          <w:rFonts w:cs="Calibri"/>
          <w:sz w:val="22"/>
          <w:szCs w:val="22"/>
        </w:rPr>
        <w:t>contextRef</w:t>
      </w:r>
      <w:proofErr w:type="spellEnd"/>
      <w:r w:rsidR="00F56E2F" w:rsidRPr="00FC78B0">
        <w:rPr>
          <w:rFonts w:cs="Calibri"/>
          <w:sz w:val="22"/>
          <w:szCs w:val="22"/>
        </w:rPr>
        <w:t>="c51"&gt;s2c_LB </w:t>
      </w:r>
      <w:proofErr w:type="gramStart"/>
      <w:r w:rsidR="00F56E2F" w:rsidRPr="00FC78B0">
        <w:rPr>
          <w:rFonts w:cs="Calibri"/>
          <w:sz w:val="22"/>
          <w:szCs w:val="22"/>
        </w:rPr>
        <w:t>:x91</w:t>
      </w:r>
      <w:proofErr w:type="gramEnd"/>
      <w:r w:rsidR="00F56E2F" w:rsidRPr="00FC78B0">
        <w:rPr>
          <w:rFonts w:cs="Calibri"/>
          <w:sz w:val="22"/>
          <w:szCs w:val="22"/>
        </w:rPr>
        <w:t>&lt;/ s2_md:e1070&gt;</w:t>
      </w:r>
      <w:r w:rsidR="00F56E2F" w:rsidRPr="00FC78B0">
        <w:rPr>
          <w:rFonts w:cs="Calibri"/>
          <w:sz w:val="22"/>
          <w:szCs w:val="22"/>
        </w:rPr>
        <w:tab/>
      </w:r>
    </w:p>
    <w:p w:rsidR="0023439A" w:rsidRPr="00FC78B0" w:rsidRDefault="0023439A" w:rsidP="0023439A">
      <w:pPr>
        <w:numPr>
          <w:ilvl w:val="0"/>
          <w:numId w:val="9"/>
        </w:numPr>
        <w:spacing w:before="0" w:after="0"/>
        <w:jc w:val="both"/>
        <w:rPr>
          <w:rFonts w:cs="Calibri"/>
          <w:sz w:val="22"/>
          <w:szCs w:val="22"/>
        </w:rPr>
      </w:pPr>
      <w:r w:rsidRPr="00FC78B0">
        <w:rPr>
          <w:rFonts w:cs="Calibri"/>
          <w:sz w:val="22"/>
          <w:szCs w:val="22"/>
        </w:rPr>
        <w:t>Tout</w:t>
      </w:r>
      <w:r w:rsidR="00F56E2F" w:rsidRPr="00FC78B0">
        <w:rPr>
          <w:rFonts w:cs="Calibri"/>
          <w:sz w:val="22"/>
          <w:szCs w:val="22"/>
        </w:rPr>
        <w:t>e</w:t>
      </w:r>
      <w:r w:rsidRPr="00FC78B0">
        <w:rPr>
          <w:rFonts w:cs="Calibri"/>
          <w:sz w:val="22"/>
          <w:szCs w:val="22"/>
        </w:rPr>
        <w:t xml:space="preserve"> autre </w:t>
      </w:r>
      <w:r w:rsidR="00F56E2F" w:rsidRPr="00FC78B0">
        <w:rPr>
          <w:rFonts w:cs="Calibri"/>
          <w:sz w:val="22"/>
          <w:szCs w:val="22"/>
        </w:rPr>
        <w:t>codification</w:t>
      </w:r>
      <w:r w:rsidRPr="00FC78B0">
        <w:rPr>
          <w:rFonts w:cs="Calibri"/>
          <w:sz w:val="22"/>
          <w:szCs w:val="22"/>
        </w:rPr>
        <w:t xml:space="preserve"> sera incorrect</w:t>
      </w:r>
      <w:r w:rsidR="00F56E2F" w:rsidRPr="00FC78B0">
        <w:rPr>
          <w:rFonts w:cs="Calibri"/>
          <w:sz w:val="22"/>
          <w:szCs w:val="22"/>
        </w:rPr>
        <w:t>e</w:t>
      </w:r>
      <w:r w:rsidRPr="00FC78B0">
        <w:rPr>
          <w:rFonts w:cs="Calibri"/>
          <w:sz w:val="22"/>
          <w:szCs w:val="22"/>
        </w:rPr>
        <w:t>.</w:t>
      </w:r>
    </w:p>
    <w:p w:rsidR="0082197B" w:rsidRDefault="0082197B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180CCE" w:rsidRDefault="00180CCE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6F0C89" w:rsidRPr="00465818" w:rsidRDefault="00E3678E" w:rsidP="001625C3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 xml:space="preserve">La </w:t>
      </w:r>
      <w:r w:rsidR="00AB2A94" w:rsidRPr="00465818">
        <w:rPr>
          <w:rFonts w:asciiTheme="minorHAnsi" w:hAnsiTheme="minorHAnsi" w:cstheme="minorHAnsi"/>
          <w:sz w:val="22"/>
          <w:szCs w:val="22"/>
        </w:rPr>
        <w:t>spécification</w:t>
      </w:r>
      <w:r w:rsidRPr="00465818">
        <w:rPr>
          <w:rFonts w:asciiTheme="minorHAnsi" w:hAnsiTheme="minorHAnsi" w:cstheme="minorHAnsi"/>
          <w:sz w:val="22"/>
          <w:szCs w:val="22"/>
        </w:rPr>
        <w:t xml:space="preserve"> Extensible </w:t>
      </w:r>
      <w:proofErr w:type="spellStart"/>
      <w:r w:rsidRPr="00465818">
        <w:rPr>
          <w:rFonts w:asciiTheme="minorHAnsi" w:hAnsiTheme="minorHAnsi" w:cstheme="minorHAnsi"/>
          <w:sz w:val="22"/>
          <w:szCs w:val="22"/>
        </w:rPr>
        <w:t>Enumerations</w:t>
      </w:r>
      <w:proofErr w:type="spellEnd"/>
      <w:r w:rsidR="001625C3" w:rsidRPr="00465818">
        <w:rPr>
          <w:rFonts w:asciiTheme="minorHAnsi" w:hAnsiTheme="minorHAnsi" w:cstheme="minorHAnsi"/>
          <w:sz w:val="22"/>
          <w:szCs w:val="22"/>
        </w:rPr>
        <w:t>,</w:t>
      </w:r>
      <w:r w:rsidRPr="00465818">
        <w:rPr>
          <w:rFonts w:asciiTheme="minorHAnsi" w:hAnsiTheme="minorHAnsi" w:cstheme="minorHAnsi"/>
          <w:sz w:val="22"/>
          <w:szCs w:val="22"/>
        </w:rPr>
        <w:t xml:space="preserve"> </w:t>
      </w:r>
      <w:r w:rsidR="00F56E2F" w:rsidRPr="00465818">
        <w:rPr>
          <w:rFonts w:asciiTheme="minorHAnsi" w:hAnsiTheme="minorHAnsi" w:cstheme="minorHAnsi"/>
          <w:sz w:val="22"/>
          <w:szCs w:val="22"/>
        </w:rPr>
        <w:t xml:space="preserve">mise en </w:t>
      </w:r>
      <w:r w:rsidR="00465818" w:rsidRPr="00465818">
        <w:rPr>
          <w:rFonts w:asciiTheme="minorHAnsi" w:hAnsiTheme="minorHAnsi" w:cstheme="minorHAnsi"/>
          <w:sz w:val="22"/>
          <w:szCs w:val="22"/>
        </w:rPr>
        <w:t>œuvre</w:t>
      </w:r>
      <w:r w:rsidR="00F56E2F" w:rsidRPr="00465818">
        <w:rPr>
          <w:rFonts w:asciiTheme="minorHAnsi" w:hAnsiTheme="minorHAnsi" w:cstheme="minorHAnsi"/>
          <w:sz w:val="22"/>
          <w:szCs w:val="22"/>
        </w:rPr>
        <w:t xml:space="preserve"> </w:t>
      </w:r>
      <w:r w:rsidRPr="00465818">
        <w:rPr>
          <w:rFonts w:asciiTheme="minorHAnsi" w:hAnsiTheme="minorHAnsi" w:cstheme="minorHAnsi"/>
          <w:sz w:val="22"/>
          <w:szCs w:val="22"/>
        </w:rPr>
        <w:t>dans la taxonomie</w:t>
      </w:r>
      <w:r w:rsidR="001625C3" w:rsidRPr="00465818">
        <w:rPr>
          <w:rFonts w:asciiTheme="minorHAnsi" w:hAnsiTheme="minorHAnsi" w:cstheme="minorHAnsi"/>
          <w:sz w:val="22"/>
          <w:szCs w:val="22"/>
        </w:rPr>
        <w:t>,</w:t>
      </w:r>
      <w:r w:rsidRPr="00465818">
        <w:rPr>
          <w:rFonts w:asciiTheme="minorHAnsi" w:hAnsiTheme="minorHAnsi" w:cstheme="minorHAnsi"/>
          <w:sz w:val="22"/>
          <w:szCs w:val="22"/>
        </w:rPr>
        <w:t xml:space="preserve"> permet de vérifier </w:t>
      </w:r>
      <w:r w:rsidR="00F56E2F" w:rsidRPr="00465818">
        <w:rPr>
          <w:rFonts w:asciiTheme="minorHAnsi" w:hAnsiTheme="minorHAnsi" w:cstheme="minorHAnsi"/>
          <w:sz w:val="22"/>
          <w:szCs w:val="22"/>
        </w:rPr>
        <w:t>la codification</w:t>
      </w:r>
      <w:r w:rsidRPr="00465818">
        <w:rPr>
          <w:rFonts w:asciiTheme="minorHAnsi" w:hAnsiTheme="minorHAnsi" w:cstheme="minorHAnsi"/>
          <w:sz w:val="22"/>
          <w:szCs w:val="22"/>
        </w:rPr>
        <w:t xml:space="preserve"> des données remises</w:t>
      </w:r>
      <w:r w:rsidR="001625C3" w:rsidRPr="00465818">
        <w:rPr>
          <w:rFonts w:asciiTheme="minorHAnsi" w:hAnsiTheme="minorHAnsi" w:cstheme="minorHAnsi"/>
          <w:sz w:val="22"/>
          <w:szCs w:val="22"/>
        </w:rPr>
        <w:t>.</w:t>
      </w:r>
      <w:r w:rsidRPr="00465818">
        <w:rPr>
          <w:rFonts w:asciiTheme="minorHAnsi" w:hAnsiTheme="minorHAnsi" w:cstheme="minorHAnsi"/>
          <w:sz w:val="22"/>
          <w:szCs w:val="22"/>
        </w:rPr>
        <w:t xml:space="preserve"> Cette spécification</w:t>
      </w:r>
      <w:r w:rsidR="00AB2A94" w:rsidRPr="00465818">
        <w:rPr>
          <w:rFonts w:asciiTheme="minorHAnsi" w:hAnsiTheme="minorHAnsi" w:cstheme="minorHAnsi"/>
          <w:sz w:val="22"/>
          <w:szCs w:val="22"/>
        </w:rPr>
        <w:t xml:space="preserve"> définit les </w:t>
      </w:r>
      <w:r w:rsidR="00F56E2F" w:rsidRPr="00465818">
        <w:rPr>
          <w:rFonts w:asciiTheme="minorHAnsi" w:hAnsiTheme="minorHAnsi" w:cstheme="minorHAnsi"/>
          <w:sz w:val="22"/>
          <w:szCs w:val="22"/>
        </w:rPr>
        <w:t xml:space="preserve">modalités de vérifications des </w:t>
      </w:r>
      <w:proofErr w:type="spellStart"/>
      <w:r w:rsidR="00F56E2F" w:rsidRPr="00465818">
        <w:rPr>
          <w:rFonts w:asciiTheme="minorHAnsi" w:hAnsiTheme="minorHAnsi" w:cstheme="minorHAnsi"/>
          <w:sz w:val="22"/>
          <w:szCs w:val="22"/>
        </w:rPr>
        <w:t>QNames</w:t>
      </w:r>
      <w:proofErr w:type="spellEnd"/>
      <w:r w:rsidR="006F0C89" w:rsidRPr="00465818">
        <w:rPr>
          <w:rFonts w:asciiTheme="minorHAnsi" w:hAnsiTheme="minorHAnsi" w:cstheme="minorHAnsi"/>
          <w:sz w:val="22"/>
          <w:szCs w:val="22"/>
        </w:rPr>
        <w:t xml:space="preserve"> par rapport aux valeurs autorisées. Cependant les mo</w:t>
      </w:r>
      <w:r w:rsidR="00465818" w:rsidRPr="00465818">
        <w:rPr>
          <w:rFonts w:asciiTheme="minorHAnsi" w:hAnsiTheme="minorHAnsi" w:cstheme="minorHAnsi"/>
          <w:sz w:val="22"/>
          <w:szCs w:val="22"/>
        </w:rPr>
        <w:t>t</w:t>
      </w:r>
      <w:r w:rsidR="006F0C89" w:rsidRPr="00465818">
        <w:rPr>
          <w:rFonts w:asciiTheme="minorHAnsi" w:hAnsiTheme="minorHAnsi" w:cstheme="minorHAnsi"/>
          <w:sz w:val="22"/>
          <w:szCs w:val="22"/>
        </w:rPr>
        <w:t>eur</w:t>
      </w:r>
      <w:r w:rsidR="00465818" w:rsidRPr="00465818">
        <w:rPr>
          <w:rFonts w:asciiTheme="minorHAnsi" w:hAnsiTheme="minorHAnsi" w:cstheme="minorHAnsi"/>
          <w:sz w:val="22"/>
          <w:szCs w:val="22"/>
        </w:rPr>
        <w:t>s</w:t>
      </w:r>
      <w:r w:rsidR="006F0C89" w:rsidRPr="00465818">
        <w:rPr>
          <w:rFonts w:asciiTheme="minorHAnsi" w:hAnsiTheme="minorHAnsi" w:cstheme="minorHAnsi"/>
          <w:sz w:val="22"/>
          <w:szCs w:val="22"/>
        </w:rPr>
        <w:t xml:space="preserve"> de validation utilisés p</w:t>
      </w:r>
      <w:r w:rsidR="00465818" w:rsidRPr="00465818">
        <w:rPr>
          <w:rFonts w:asciiTheme="minorHAnsi" w:hAnsiTheme="minorHAnsi" w:cstheme="minorHAnsi"/>
          <w:sz w:val="22"/>
          <w:szCs w:val="22"/>
        </w:rPr>
        <w:t>ar</w:t>
      </w:r>
      <w:r w:rsidR="006F0C89" w:rsidRPr="00465818">
        <w:rPr>
          <w:rFonts w:asciiTheme="minorHAnsi" w:hAnsiTheme="minorHAnsi" w:cstheme="minorHAnsi"/>
          <w:sz w:val="22"/>
          <w:szCs w:val="22"/>
        </w:rPr>
        <w:t xml:space="preserve"> l’ACPR / Banque de France n’ont pas mis en œuvre cette spécification avant le 25 juin 2015.</w:t>
      </w:r>
    </w:p>
    <w:p w:rsidR="00AB2A94" w:rsidRPr="00465818" w:rsidRDefault="005C13F4" w:rsidP="00E3678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>Vous trouverez ci-dessous quelques exemples qui</w:t>
      </w:r>
      <w:r w:rsidR="00F2476B" w:rsidRPr="00465818">
        <w:rPr>
          <w:rFonts w:asciiTheme="minorHAnsi" w:hAnsiTheme="minorHAnsi" w:cstheme="minorHAnsi"/>
          <w:sz w:val="22"/>
          <w:szCs w:val="22"/>
        </w:rPr>
        <w:t xml:space="preserve"> </w:t>
      </w:r>
      <w:r w:rsidR="006F0C89" w:rsidRPr="00465818">
        <w:rPr>
          <w:rFonts w:asciiTheme="minorHAnsi" w:hAnsiTheme="minorHAnsi" w:cstheme="minorHAnsi"/>
          <w:sz w:val="22"/>
          <w:szCs w:val="22"/>
        </w:rPr>
        <w:t>sont incorrect</w:t>
      </w:r>
      <w:r w:rsidR="00465818" w:rsidRPr="00465818">
        <w:rPr>
          <w:rFonts w:asciiTheme="minorHAnsi" w:hAnsiTheme="minorHAnsi" w:cstheme="minorHAnsi"/>
          <w:sz w:val="22"/>
          <w:szCs w:val="22"/>
        </w:rPr>
        <w:t>s</w:t>
      </w:r>
      <w:r w:rsidR="006F0C89" w:rsidRPr="00465818">
        <w:rPr>
          <w:rFonts w:asciiTheme="minorHAnsi" w:hAnsiTheme="minorHAnsi" w:cstheme="minorHAnsi"/>
          <w:sz w:val="22"/>
          <w:szCs w:val="22"/>
        </w:rPr>
        <w:t xml:space="preserve"> et doivent être rejetés</w:t>
      </w:r>
      <w:r w:rsidR="00AB2A94" w:rsidRPr="00465818">
        <w:rPr>
          <w:rFonts w:asciiTheme="minorHAnsi" w:hAnsiTheme="minorHAnsi" w:cstheme="minorHAnsi"/>
          <w:sz w:val="22"/>
          <w:szCs w:val="22"/>
        </w:rPr>
        <w:t> :</w:t>
      </w:r>
    </w:p>
    <w:p w:rsidR="00AB2A94" w:rsidRPr="00AB2A94" w:rsidRDefault="00AB2A94" w:rsidP="00AB2A94">
      <w:pPr>
        <w:rPr>
          <w:rFonts w:ascii="Times New Roman" w:hAnsi="Times New Roman"/>
        </w:rPr>
      </w:pPr>
    </w:p>
    <w:p w:rsidR="00AB2A94" w:rsidRPr="00465818" w:rsidRDefault="00AB2A94" w:rsidP="00AB2A94">
      <w:pPr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  <w:u w:val="single"/>
        </w:rPr>
        <w:t>Utilisation d’un nom fantaisiste</w:t>
      </w:r>
      <w:r w:rsidRPr="00465818">
        <w:rPr>
          <w:rFonts w:asciiTheme="minorHAnsi" w:hAnsiTheme="minorHAnsi" w:cstheme="minorHAnsi"/>
          <w:sz w:val="22"/>
          <w:szCs w:val="22"/>
        </w:rPr>
        <w:t> :</w:t>
      </w:r>
    </w:p>
    <w:p w:rsidR="00AB2A94" w:rsidRPr="00465818" w:rsidRDefault="00AB2A94" w:rsidP="00AB2A94">
      <w:pPr>
        <w:ind w:left="720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>‘S2_EUR’ au lieu de ‘s2c_CU:EUR’</w:t>
      </w:r>
    </w:p>
    <w:p w:rsidR="00F2476B" w:rsidRDefault="00F2476B" w:rsidP="00AB2A94">
      <w:pPr>
        <w:ind w:left="720"/>
        <w:rPr>
          <w:rFonts w:ascii="Times New Roman" w:hAnsi="Times New Roman"/>
        </w:rPr>
      </w:pPr>
    </w:p>
    <w:p w:rsidR="00AB2A94" w:rsidRPr="00465818" w:rsidRDefault="00AB2A94" w:rsidP="00AB2A94">
      <w:pPr>
        <w:numPr>
          <w:ilvl w:val="0"/>
          <w:numId w:val="8"/>
        </w:numPr>
        <w:spacing w:before="0" w:after="0"/>
        <w:rPr>
          <w:rFonts w:asciiTheme="minorHAnsi" w:hAnsiTheme="minorHAnsi" w:cstheme="minorHAnsi"/>
        </w:rPr>
      </w:pPr>
      <w:r w:rsidRPr="00465818">
        <w:rPr>
          <w:rFonts w:asciiTheme="minorHAnsi" w:hAnsiTheme="minorHAnsi" w:cstheme="minorHAnsi"/>
          <w:u w:val="single"/>
        </w:rPr>
        <w:t xml:space="preserve">Oubli de l’utilisation du </w:t>
      </w:r>
      <w:r w:rsidR="006F0C89" w:rsidRPr="00465818">
        <w:rPr>
          <w:rFonts w:asciiTheme="minorHAnsi" w:hAnsiTheme="minorHAnsi" w:cstheme="minorHAnsi"/>
          <w:u w:val="single"/>
        </w:rPr>
        <w:t>préfixe de l’espace de nommage</w:t>
      </w:r>
      <w:r w:rsidR="006F0C89" w:rsidRPr="00465818">
        <w:rPr>
          <w:rFonts w:asciiTheme="minorHAnsi" w:hAnsiTheme="minorHAnsi" w:cstheme="minorHAnsi"/>
        </w:rPr>
        <w:t> </w:t>
      </w:r>
      <w:r w:rsidRPr="00465818">
        <w:rPr>
          <w:rFonts w:asciiTheme="minorHAnsi" w:hAnsiTheme="minorHAnsi" w:cstheme="minorHAnsi"/>
        </w:rPr>
        <w:t xml:space="preserve">: </w:t>
      </w:r>
    </w:p>
    <w:p w:rsidR="00AB2A94" w:rsidRPr="00465818" w:rsidRDefault="00AB2A94" w:rsidP="00AB2A94">
      <w:pPr>
        <w:numPr>
          <w:ilvl w:val="1"/>
          <w:numId w:val="8"/>
        </w:numPr>
        <w:spacing w:before="0" w:after="0"/>
        <w:rPr>
          <w:rFonts w:asciiTheme="minorHAnsi" w:hAnsiTheme="minorHAnsi" w:cstheme="minorHAnsi"/>
          <w:lang w:val="en-US"/>
        </w:rPr>
      </w:pPr>
      <w:r w:rsidRPr="00465818">
        <w:rPr>
          <w:rFonts w:asciiTheme="minorHAnsi" w:hAnsiTheme="minorHAnsi" w:cstheme="minorHAnsi"/>
          <w:lang w:val="en-US"/>
        </w:rPr>
        <w:t>Error     [</w:t>
      </w:r>
      <w:proofErr w:type="spellStart"/>
      <w:r w:rsidRPr="00465818">
        <w:rPr>
          <w:rFonts w:asciiTheme="minorHAnsi" w:hAnsiTheme="minorHAnsi" w:cstheme="minorHAnsi"/>
          <w:lang w:val="en-US"/>
        </w:rPr>
        <w:t>enumie</w:t>
      </w:r>
      <w:proofErr w:type="gramStart"/>
      <w:r w:rsidRPr="00465818">
        <w:rPr>
          <w:rFonts w:asciiTheme="minorHAnsi" w:hAnsiTheme="minorHAnsi" w:cstheme="minorHAnsi"/>
          <w:lang w:val="en-US"/>
        </w:rPr>
        <w:t>:InvalidFactValue</w:t>
      </w:r>
      <w:proofErr w:type="spellEnd"/>
      <w:proofErr w:type="gramEnd"/>
      <w:r w:rsidRPr="00465818">
        <w:rPr>
          <w:rFonts w:asciiTheme="minorHAnsi" w:hAnsiTheme="minorHAnsi" w:cstheme="minorHAnsi"/>
          <w:lang w:val="en-US"/>
        </w:rPr>
        <w:t xml:space="preserve">] The value 'K' of the item 's2md_met:ei1658' is invalid. One of </w:t>
      </w:r>
      <w:proofErr w:type="gramStart"/>
      <w:r w:rsidRPr="00465818">
        <w:rPr>
          <w:rFonts w:asciiTheme="minorHAnsi" w:hAnsiTheme="minorHAnsi" w:cstheme="minorHAnsi"/>
          <w:lang w:val="en-US"/>
        </w:rPr>
        <w:t>{ s2c</w:t>
      </w:r>
      <w:proofErr w:type="gramEnd"/>
      <w:r w:rsidRPr="00465818">
        <w:rPr>
          <w:rFonts w:asciiTheme="minorHAnsi" w:hAnsiTheme="minorHAnsi" w:cstheme="minorHAnsi"/>
          <w:lang w:val="en-US"/>
        </w:rPr>
        <w:t xml:space="preserve">_NC:x0, s2c_NC:A, s2c_NC:A01,..., s2c_NC:K,…, s2c_NC:T9820, s2c_NC:U, s2c_NC:U99, s2c_NC:U990, s2c_NC:U9900 } can be specified. </w:t>
      </w:r>
    </w:p>
    <w:p w:rsidR="00F2476B" w:rsidRDefault="006F0C89" w:rsidP="00C15189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65818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La valeur </w:t>
      </w:r>
      <w:r w:rsidR="00AB2A94" w:rsidRPr="00465818">
        <w:rPr>
          <w:rFonts w:asciiTheme="minorHAnsi" w:hAnsiTheme="minorHAnsi" w:cstheme="minorHAnsi"/>
          <w:b/>
          <w:bCs/>
          <w:color w:val="C00000"/>
          <w:sz w:val="22"/>
          <w:szCs w:val="22"/>
        </w:rPr>
        <w:t>K</w:t>
      </w:r>
      <w:r w:rsidR="00AB2A94" w:rsidRPr="00465818">
        <w:rPr>
          <w:rFonts w:asciiTheme="minorHAnsi" w:hAnsiTheme="minorHAnsi" w:cstheme="minorHAnsi"/>
          <w:sz w:val="22"/>
          <w:szCs w:val="22"/>
        </w:rPr>
        <w:t xml:space="preserve"> est permis</w:t>
      </w:r>
      <w:r w:rsidRPr="00465818">
        <w:rPr>
          <w:rFonts w:asciiTheme="minorHAnsi" w:hAnsiTheme="minorHAnsi" w:cstheme="minorHAnsi"/>
          <w:sz w:val="22"/>
          <w:szCs w:val="22"/>
        </w:rPr>
        <w:t>e</w:t>
      </w:r>
      <w:r w:rsidR="00AB2A94" w:rsidRPr="00465818">
        <w:rPr>
          <w:rFonts w:asciiTheme="minorHAnsi" w:hAnsiTheme="minorHAnsi" w:cstheme="minorHAnsi"/>
          <w:sz w:val="22"/>
          <w:szCs w:val="22"/>
        </w:rPr>
        <w:t xml:space="preserve">, </w:t>
      </w:r>
      <w:r w:rsidRPr="00465818">
        <w:rPr>
          <w:rFonts w:asciiTheme="minorHAnsi" w:hAnsiTheme="minorHAnsi" w:cstheme="minorHAnsi"/>
          <w:sz w:val="22"/>
          <w:szCs w:val="22"/>
        </w:rPr>
        <w:t xml:space="preserve">mais </w:t>
      </w:r>
      <w:r w:rsidR="00AB2A94" w:rsidRPr="00465818">
        <w:rPr>
          <w:rFonts w:asciiTheme="minorHAnsi" w:hAnsiTheme="minorHAnsi" w:cstheme="minorHAnsi"/>
          <w:sz w:val="22"/>
          <w:szCs w:val="22"/>
        </w:rPr>
        <w:t xml:space="preserve">le </w:t>
      </w:r>
      <w:r w:rsidRPr="00465818">
        <w:rPr>
          <w:rFonts w:asciiTheme="minorHAnsi" w:hAnsiTheme="minorHAnsi" w:cstheme="minorHAnsi"/>
          <w:sz w:val="22"/>
          <w:szCs w:val="22"/>
        </w:rPr>
        <w:t xml:space="preserve">préfixe par défaut n’est </w:t>
      </w:r>
      <w:r w:rsidR="00465818">
        <w:rPr>
          <w:rFonts w:asciiTheme="minorHAnsi" w:hAnsiTheme="minorHAnsi" w:cstheme="minorHAnsi"/>
          <w:sz w:val="22"/>
          <w:szCs w:val="22"/>
        </w:rPr>
        <w:t>pas</w:t>
      </w:r>
      <w:r w:rsidRPr="00465818">
        <w:rPr>
          <w:rFonts w:asciiTheme="minorHAnsi" w:hAnsiTheme="minorHAnsi" w:cstheme="minorHAnsi"/>
          <w:sz w:val="22"/>
          <w:szCs w:val="22"/>
        </w:rPr>
        <w:t xml:space="preserve"> associé à l’espace de nommage </w:t>
      </w:r>
      <w:r w:rsidR="002949FD" w:rsidRPr="00465818">
        <w:rPr>
          <w:rFonts w:asciiTheme="minorHAnsi" w:eastAsia="Times New Roman" w:hAnsiTheme="minorHAnsi" w:cstheme="minorHAnsi"/>
          <w:sz w:val="22"/>
          <w:szCs w:val="22"/>
          <w:lang w:eastAsia="fr-FR"/>
        </w:rPr>
        <w:t>http://eiopa.europa.eu/xbrl/s2c/dict/dom/NC</w:t>
      </w:r>
      <w:r w:rsidR="00AB2A94" w:rsidRPr="00465818">
        <w:rPr>
          <w:rFonts w:asciiTheme="minorHAnsi" w:hAnsiTheme="minorHAnsi" w:cstheme="minorHAnsi"/>
          <w:sz w:val="22"/>
          <w:szCs w:val="22"/>
        </w:rPr>
        <w:t xml:space="preserve">, une valeur correcte </w:t>
      </w:r>
      <w:r w:rsidR="002949FD" w:rsidRPr="00465818">
        <w:rPr>
          <w:rFonts w:asciiTheme="minorHAnsi" w:hAnsiTheme="minorHAnsi" w:cstheme="minorHAnsi"/>
          <w:sz w:val="22"/>
          <w:szCs w:val="22"/>
        </w:rPr>
        <w:t xml:space="preserve">serait </w:t>
      </w:r>
      <w:r w:rsidR="00AB2A94" w:rsidRPr="00465818">
        <w:rPr>
          <w:rFonts w:asciiTheme="minorHAnsi" w:hAnsiTheme="minorHAnsi" w:cstheme="minorHAnsi"/>
          <w:b/>
          <w:bCs/>
          <w:color w:val="C00000"/>
          <w:sz w:val="22"/>
          <w:szCs w:val="22"/>
        </w:rPr>
        <w:t>s2c_NC:K</w:t>
      </w:r>
      <w:r w:rsidR="002949FD" w:rsidRPr="00465818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, avec déclaration, dans l’élément </w:t>
      </w:r>
      <w:proofErr w:type="spellStart"/>
      <w:r w:rsidR="002949FD" w:rsidRPr="00465818">
        <w:rPr>
          <w:rFonts w:asciiTheme="minorHAnsi" w:hAnsiTheme="minorHAnsi" w:cstheme="minorHAnsi"/>
          <w:bCs/>
          <w:color w:val="C00000"/>
          <w:sz w:val="22"/>
          <w:szCs w:val="22"/>
        </w:rPr>
        <w:t>xbrli:xbrl</w:t>
      </w:r>
      <w:proofErr w:type="spellEnd"/>
      <w:r w:rsidR="002949FD" w:rsidRPr="00465818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du préfixe xmlns:s2c_NC=http://eiopa.europa.eu/xbrl/s2c/dict/dom/NC</w:t>
      </w:r>
    </w:p>
    <w:p w:rsidR="00465818" w:rsidRPr="00465818" w:rsidRDefault="00465818" w:rsidP="00C15189">
      <w:pPr>
        <w:rPr>
          <w:rFonts w:asciiTheme="minorHAnsi" w:hAnsiTheme="minorHAnsi" w:cstheme="minorHAnsi"/>
          <w:sz w:val="22"/>
          <w:szCs w:val="22"/>
        </w:rPr>
      </w:pPr>
    </w:p>
    <w:p w:rsidR="00AB2A94" w:rsidRPr="00465818" w:rsidRDefault="00AB2A94" w:rsidP="00AB2A94">
      <w:pPr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  <w:u w:val="single"/>
        </w:rPr>
        <w:t>Utilisation du premier membre de la hiérarchie définie dans l’énumération</w:t>
      </w:r>
      <w:r w:rsidRPr="00465818">
        <w:rPr>
          <w:rFonts w:asciiTheme="minorHAnsi" w:hAnsiTheme="minorHAnsi" w:cstheme="minorHAnsi"/>
          <w:sz w:val="22"/>
          <w:szCs w:val="22"/>
        </w:rPr>
        <w:t> :</w:t>
      </w:r>
    </w:p>
    <w:p w:rsidR="00AB2A94" w:rsidRPr="00465818" w:rsidRDefault="00AB2A94" w:rsidP="00AB2A94">
      <w:pPr>
        <w:numPr>
          <w:ilvl w:val="1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465818">
        <w:rPr>
          <w:rFonts w:asciiTheme="minorHAnsi" w:hAnsiTheme="minorHAnsi" w:cstheme="minorHAnsi"/>
          <w:sz w:val="22"/>
          <w:szCs w:val="22"/>
          <w:lang w:val="en-US"/>
        </w:rPr>
        <w:t>Error     [</w:t>
      </w:r>
      <w:proofErr w:type="spellStart"/>
      <w:r w:rsidRPr="00465818">
        <w:rPr>
          <w:rFonts w:asciiTheme="minorHAnsi" w:hAnsiTheme="minorHAnsi" w:cstheme="minorHAnsi"/>
          <w:sz w:val="22"/>
          <w:szCs w:val="22"/>
          <w:lang w:val="en-US"/>
        </w:rPr>
        <w:t>enumie</w:t>
      </w:r>
      <w:proofErr w:type="gramStart"/>
      <w:r w:rsidRPr="00465818">
        <w:rPr>
          <w:rFonts w:asciiTheme="minorHAnsi" w:hAnsiTheme="minorHAnsi" w:cstheme="minorHAnsi"/>
          <w:sz w:val="22"/>
          <w:szCs w:val="22"/>
          <w:lang w:val="en-US"/>
        </w:rPr>
        <w:t>:InvalidFactValue</w:t>
      </w:r>
      <w:proofErr w:type="spellEnd"/>
      <w:proofErr w:type="gramEnd"/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] The value </w:t>
      </w:r>
      <w:r w:rsidRPr="00465818">
        <w:rPr>
          <w:rFonts w:asciiTheme="minorHAnsi" w:hAnsiTheme="minorHAnsi" w:cstheme="minorHAnsi"/>
          <w:color w:val="C00000"/>
          <w:sz w:val="22"/>
          <w:szCs w:val="22"/>
          <w:lang w:val="en-US"/>
        </w:rPr>
        <w:t>'s2c_PU:x0</w:t>
      </w:r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' of the item 's2md_met:ei1309' is invalid. One of </w:t>
      </w:r>
      <w:proofErr w:type="gramStart"/>
      <w:r w:rsidRPr="00465818">
        <w:rPr>
          <w:rFonts w:asciiTheme="minorHAnsi" w:hAnsiTheme="minorHAnsi" w:cstheme="minorHAnsi"/>
          <w:sz w:val="22"/>
          <w:szCs w:val="22"/>
          <w:lang w:val="en-US"/>
        </w:rPr>
        <w:t>{ s2c</w:t>
      </w:r>
      <w:proofErr w:type="gramEnd"/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_PU:x16, s2c_PU:x28, s2c_PU:x31, s2c_PU:x29, s2c_PU:x30 } can be specified. </w:t>
      </w:r>
    </w:p>
    <w:p w:rsidR="00AB2A94" w:rsidRPr="00465818" w:rsidRDefault="00AB2A94" w:rsidP="00AB2A94">
      <w:pPr>
        <w:ind w:left="708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 xml:space="preserve">En effet, sans utilisation de l’attribut </w:t>
      </w:r>
      <w:hyperlink r:id="rId14" w:anchor="term-domain-head" w:history="1">
        <w:r w:rsidRPr="00465818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@</w:t>
        </w:r>
        <w:proofErr w:type="spellStart"/>
        <w:r w:rsidRPr="00465818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headUsable</w:t>
        </w:r>
        <w:proofErr w:type="spellEnd"/>
      </w:hyperlink>
      <w:r w:rsidRPr="00465818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465818">
        <w:rPr>
          <w:rFonts w:asciiTheme="minorHAnsi" w:hAnsiTheme="minorHAnsi" w:cstheme="minorHAnsi"/>
          <w:b/>
          <w:bCs/>
          <w:sz w:val="22"/>
          <w:szCs w:val="22"/>
        </w:rPr>
        <w:t>true</w:t>
      </w:r>
      <w:proofErr w:type="spellEnd"/>
      <w:r w:rsidRPr="00465818">
        <w:rPr>
          <w:rFonts w:asciiTheme="minorHAnsi" w:hAnsiTheme="minorHAnsi" w:cstheme="minorHAnsi"/>
          <w:sz w:val="22"/>
          <w:szCs w:val="22"/>
        </w:rPr>
        <w:t xml:space="preserve"> lors de la définition de l’énumération (ce n’est jamais le cas dans la taxonomie EIOPA), </w:t>
      </w:r>
      <w:r w:rsidRPr="00465818">
        <w:rPr>
          <w:rFonts w:asciiTheme="minorHAnsi" w:hAnsiTheme="minorHAnsi" w:cstheme="minorHAnsi"/>
          <w:sz w:val="22"/>
          <w:szCs w:val="22"/>
          <w:u w:val="single"/>
        </w:rPr>
        <w:t>le premier élément de la hiérarchie désigné par @</w:t>
      </w:r>
      <w:proofErr w:type="spellStart"/>
      <w:r w:rsidRPr="00465818">
        <w:rPr>
          <w:rFonts w:asciiTheme="minorHAnsi" w:hAnsiTheme="minorHAnsi" w:cstheme="minorHAnsi"/>
          <w:sz w:val="22"/>
          <w:szCs w:val="22"/>
          <w:u w:val="single"/>
        </w:rPr>
        <w:t>domain</w:t>
      </w:r>
      <w:proofErr w:type="spellEnd"/>
      <w:r w:rsidRPr="00465818">
        <w:rPr>
          <w:rFonts w:asciiTheme="minorHAnsi" w:hAnsiTheme="minorHAnsi" w:cstheme="minorHAnsi"/>
          <w:sz w:val="22"/>
          <w:szCs w:val="22"/>
          <w:u w:val="single"/>
        </w:rPr>
        <w:t xml:space="preserve"> ne peut pas être utilisé</w:t>
      </w:r>
      <w:r w:rsidRPr="00465818">
        <w:rPr>
          <w:rFonts w:asciiTheme="minorHAnsi" w:hAnsiTheme="minorHAnsi" w:cstheme="minorHAnsi"/>
          <w:sz w:val="22"/>
          <w:szCs w:val="22"/>
        </w:rPr>
        <w:t>.</w:t>
      </w:r>
    </w:p>
    <w:p w:rsidR="00AB2A94" w:rsidRPr="00AB2A94" w:rsidRDefault="00AB2A94" w:rsidP="00AB2A94">
      <w:pPr>
        <w:ind w:left="708"/>
        <w:rPr>
          <w:rFonts w:ascii="Times New Roman" w:hAnsi="Times New Roman"/>
        </w:rPr>
      </w:pP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>               </w:t>
      </w:r>
      <w:r w:rsidRPr="00465818">
        <w:rPr>
          <w:rFonts w:asciiTheme="minorHAnsi" w:hAnsiTheme="minorHAnsi" w:cstheme="minorHAnsi"/>
          <w:b/>
          <w:bCs/>
          <w:sz w:val="22"/>
          <w:szCs w:val="22"/>
        </w:rPr>
        <w:t>Taxonomie</w:t>
      </w:r>
      <w:r w:rsidRPr="00465818">
        <w:rPr>
          <w:rFonts w:asciiTheme="minorHAnsi" w:hAnsiTheme="minorHAnsi" w:cstheme="minorHAnsi"/>
          <w:sz w:val="22"/>
          <w:szCs w:val="22"/>
        </w:rPr>
        <w:t> :</w:t>
      </w: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>                &lt;</w:t>
      </w:r>
      <w:proofErr w:type="spellStart"/>
      <w:r w:rsidRPr="00465818">
        <w:rPr>
          <w:rFonts w:asciiTheme="minorHAnsi" w:hAnsiTheme="minorHAnsi" w:cstheme="minorHAnsi"/>
          <w:sz w:val="22"/>
          <w:szCs w:val="22"/>
        </w:rPr>
        <w:t>xs:element</w:t>
      </w:r>
      <w:proofErr w:type="spellEnd"/>
      <w:r w:rsidRPr="00465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818">
        <w:rPr>
          <w:rFonts w:asciiTheme="minorHAnsi" w:hAnsiTheme="minorHAnsi" w:cstheme="minorHAnsi"/>
          <w:sz w:val="22"/>
          <w:szCs w:val="22"/>
        </w:rPr>
        <w:t>enum:domain</w:t>
      </w:r>
      <w:proofErr w:type="spellEnd"/>
      <w:r w:rsidRPr="00465818">
        <w:rPr>
          <w:rFonts w:asciiTheme="minorHAnsi" w:hAnsiTheme="minorHAnsi" w:cstheme="minorHAnsi"/>
          <w:sz w:val="22"/>
          <w:szCs w:val="22"/>
        </w:rPr>
        <w:t>="</w:t>
      </w:r>
      <w:r w:rsidRPr="00465818">
        <w:rPr>
          <w:rFonts w:asciiTheme="minorHAnsi" w:hAnsiTheme="minorHAnsi" w:cstheme="minorHAnsi"/>
          <w:color w:val="C00000"/>
          <w:sz w:val="22"/>
          <w:szCs w:val="22"/>
        </w:rPr>
        <w:t>s2c_PU:x0</w:t>
      </w:r>
      <w:r w:rsidRPr="00465818">
        <w:rPr>
          <w:rFonts w:asciiTheme="minorHAnsi" w:hAnsiTheme="minorHAnsi" w:cstheme="minorHAnsi"/>
          <w:sz w:val="22"/>
          <w:szCs w:val="22"/>
        </w:rPr>
        <w:t>"</w:t>
      </w: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</w:rPr>
        <w:t>        </w:t>
      </w:r>
      <w:proofErr w:type="gramStart"/>
      <w:r w:rsidRPr="00465818">
        <w:rPr>
          <w:rFonts w:asciiTheme="minorHAnsi" w:hAnsiTheme="minorHAnsi" w:cstheme="minorHAnsi"/>
          <w:sz w:val="22"/>
          <w:szCs w:val="22"/>
        </w:rPr>
        <w:t>enum:</w:t>
      </w:r>
      <w:proofErr w:type="gramEnd"/>
      <w:r w:rsidRPr="00465818">
        <w:rPr>
          <w:rFonts w:asciiTheme="minorHAnsi" w:hAnsiTheme="minorHAnsi" w:cstheme="minorHAnsi"/>
          <w:sz w:val="22"/>
          <w:szCs w:val="22"/>
        </w:rPr>
        <w:t>linkrole="</w:t>
      </w:r>
      <w:hyperlink r:id="rId15" w:history="1">
        <w:r w:rsidRPr="00465818">
          <w:rPr>
            <w:rStyle w:val="Lienhypertexte"/>
            <w:rFonts w:asciiTheme="minorHAnsi" w:hAnsiTheme="minorHAnsi" w:cstheme="minorHAnsi"/>
            <w:sz w:val="22"/>
            <w:szCs w:val="22"/>
          </w:rPr>
          <w:t>http://eiopa.europa.eu/xbrl/s2c/role/dict/dom/PU/3</w:t>
        </w:r>
      </w:hyperlink>
      <w:r w:rsidRPr="00465818">
        <w:rPr>
          <w:rFonts w:asciiTheme="minorHAnsi" w:hAnsiTheme="minorHAnsi" w:cstheme="minorHAnsi"/>
          <w:sz w:val="22"/>
          <w:szCs w:val="22"/>
        </w:rPr>
        <w:t>"</w:t>
      </w: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65818">
        <w:rPr>
          <w:rFonts w:asciiTheme="minorHAnsi" w:hAnsiTheme="minorHAnsi" w:cstheme="minorHAnsi"/>
          <w:sz w:val="22"/>
          <w:szCs w:val="22"/>
        </w:rPr>
        <w:t xml:space="preserve">        </w:t>
      </w:r>
      <w:proofErr w:type="gramStart"/>
      <w:r w:rsidRPr="00465818">
        <w:rPr>
          <w:rFonts w:asciiTheme="minorHAnsi" w:hAnsiTheme="minorHAnsi" w:cstheme="minorHAnsi"/>
          <w:sz w:val="22"/>
          <w:szCs w:val="22"/>
          <w:lang w:val="en-US"/>
        </w:rPr>
        <w:t>id</w:t>
      </w:r>
      <w:proofErr w:type="gramEnd"/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="s2md_ei1309" </w:t>
      </w:r>
      <w:proofErr w:type="spellStart"/>
      <w:r w:rsidRPr="00465818">
        <w:rPr>
          <w:rFonts w:asciiTheme="minorHAnsi" w:hAnsiTheme="minorHAnsi" w:cstheme="minorHAnsi"/>
          <w:sz w:val="22"/>
          <w:szCs w:val="22"/>
          <w:lang w:val="en-US"/>
        </w:rPr>
        <w:t>model:creationDate</w:t>
      </w:r>
      <w:proofErr w:type="spellEnd"/>
      <w:r w:rsidRPr="00465818">
        <w:rPr>
          <w:rFonts w:asciiTheme="minorHAnsi" w:hAnsiTheme="minorHAnsi" w:cstheme="minorHAnsi"/>
          <w:sz w:val="22"/>
          <w:szCs w:val="22"/>
          <w:lang w:val="en-US"/>
        </w:rPr>
        <w:t>="2014-07-07"</w:t>
      </w: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        </w:t>
      </w:r>
      <w:proofErr w:type="spellStart"/>
      <w:proofErr w:type="gramStart"/>
      <w:r w:rsidRPr="00465818">
        <w:rPr>
          <w:rFonts w:asciiTheme="minorHAnsi" w:hAnsiTheme="minorHAnsi" w:cstheme="minorHAnsi"/>
          <w:sz w:val="22"/>
          <w:szCs w:val="22"/>
          <w:lang w:val="en-US"/>
        </w:rPr>
        <w:t>model:</w:t>
      </w:r>
      <w:proofErr w:type="gramEnd"/>
      <w:r w:rsidRPr="00465818">
        <w:rPr>
          <w:rFonts w:asciiTheme="minorHAnsi" w:hAnsiTheme="minorHAnsi" w:cstheme="minorHAnsi"/>
          <w:sz w:val="22"/>
          <w:szCs w:val="22"/>
          <w:lang w:val="en-US"/>
        </w:rPr>
        <w:t>domain</w:t>
      </w:r>
      <w:proofErr w:type="spellEnd"/>
      <w:r w:rsidRPr="00465818">
        <w:rPr>
          <w:rFonts w:asciiTheme="minorHAnsi" w:hAnsiTheme="minorHAnsi" w:cstheme="minorHAnsi"/>
          <w:sz w:val="22"/>
          <w:szCs w:val="22"/>
          <w:lang w:val="en-US"/>
        </w:rPr>
        <w:t>="s2c_exp:PU"</w:t>
      </w: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        </w:t>
      </w:r>
      <w:proofErr w:type="gramStart"/>
      <w:r w:rsidRPr="00465818">
        <w:rPr>
          <w:rFonts w:asciiTheme="minorHAnsi" w:hAnsiTheme="minorHAnsi" w:cstheme="minorHAnsi"/>
          <w:sz w:val="22"/>
          <w:szCs w:val="22"/>
          <w:lang w:val="en-US"/>
        </w:rPr>
        <w:t>model:</w:t>
      </w:r>
      <w:proofErr w:type="gramEnd"/>
      <w:r w:rsidRPr="00465818">
        <w:rPr>
          <w:rFonts w:asciiTheme="minorHAnsi" w:hAnsiTheme="minorHAnsi" w:cstheme="minorHAnsi"/>
          <w:sz w:val="22"/>
          <w:szCs w:val="22"/>
          <w:lang w:val="en-US"/>
        </w:rPr>
        <w:t>hierarchy="</w:t>
      </w:r>
      <w:hyperlink r:id="rId16" w:history="1">
        <w:r w:rsidRPr="00465818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http://eiopa.europa.eu/xbrl/s2c/role/dict/dom/PU/3</w:t>
        </w:r>
      </w:hyperlink>
      <w:r w:rsidRPr="00465818">
        <w:rPr>
          <w:rFonts w:asciiTheme="minorHAnsi" w:hAnsiTheme="minorHAnsi" w:cstheme="minorHAnsi"/>
          <w:sz w:val="22"/>
          <w:szCs w:val="22"/>
          <w:lang w:val="en-US"/>
        </w:rPr>
        <w:t>"</w:t>
      </w:r>
    </w:p>
    <w:p w:rsidR="00AB2A94" w:rsidRPr="00465818" w:rsidRDefault="00AB2A94" w:rsidP="005C13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        </w:t>
      </w:r>
      <w:proofErr w:type="gramStart"/>
      <w:r w:rsidRPr="00465818">
        <w:rPr>
          <w:rFonts w:asciiTheme="minorHAnsi" w:hAnsiTheme="minorHAnsi" w:cstheme="minorHAnsi"/>
          <w:sz w:val="22"/>
          <w:szCs w:val="22"/>
          <w:lang w:val="en-US"/>
        </w:rPr>
        <w:t>name</w:t>
      </w:r>
      <w:proofErr w:type="gramEnd"/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="ei1309" </w:t>
      </w:r>
      <w:proofErr w:type="spellStart"/>
      <w:r w:rsidRPr="00465818">
        <w:rPr>
          <w:rFonts w:asciiTheme="minorHAnsi" w:hAnsiTheme="minorHAnsi" w:cstheme="minorHAnsi"/>
          <w:sz w:val="22"/>
          <w:szCs w:val="22"/>
          <w:lang w:val="en-US"/>
        </w:rPr>
        <w:t>nillable</w:t>
      </w:r>
      <w:proofErr w:type="spellEnd"/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="true" </w:t>
      </w:r>
      <w:proofErr w:type="spellStart"/>
      <w:r w:rsidRPr="00465818">
        <w:rPr>
          <w:rFonts w:asciiTheme="minorHAnsi" w:hAnsiTheme="minorHAnsi" w:cstheme="minorHAnsi"/>
          <w:sz w:val="22"/>
          <w:szCs w:val="22"/>
          <w:lang w:val="en-US"/>
        </w:rPr>
        <w:t>substitutionGroup</w:t>
      </w:r>
      <w:proofErr w:type="spellEnd"/>
      <w:r w:rsidRPr="00465818">
        <w:rPr>
          <w:rFonts w:asciiTheme="minorHAnsi" w:hAnsiTheme="minorHAnsi" w:cstheme="minorHAnsi"/>
          <w:sz w:val="22"/>
          <w:szCs w:val="22"/>
          <w:lang w:val="en-US"/>
        </w:rPr>
        <w:t>="</w:t>
      </w:r>
      <w:proofErr w:type="spellStart"/>
      <w:r w:rsidRPr="00465818">
        <w:rPr>
          <w:rFonts w:asciiTheme="minorHAnsi" w:hAnsiTheme="minorHAnsi" w:cstheme="minorHAnsi"/>
          <w:sz w:val="22"/>
          <w:szCs w:val="22"/>
          <w:lang w:val="en-US"/>
        </w:rPr>
        <w:t>xbrli:item</w:t>
      </w:r>
      <w:proofErr w:type="spellEnd"/>
      <w:r w:rsidRPr="00465818">
        <w:rPr>
          <w:rFonts w:asciiTheme="minorHAnsi" w:hAnsiTheme="minorHAnsi" w:cstheme="minorHAnsi"/>
          <w:sz w:val="22"/>
          <w:szCs w:val="22"/>
          <w:lang w:val="en-US"/>
        </w:rPr>
        <w:t>"</w:t>
      </w:r>
    </w:p>
    <w:p w:rsidR="005C13F4" w:rsidRPr="00465818" w:rsidRDefault="00AB2A94" w:rsidP="006E4A8E">
      <w:pPr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sz w:val="22"/>
          <w:szCs w:val="22"/>
          <w:lang w:val="en-US"/>
        </w:rPr>
        <w:t xml:space="preserve">        </w:t>
      </w:r>
      <w:proofErr w:type="gramStart"/>
      <w:r w:rsidRPr="00465818">
        <w:rPr>
          <w:rFonts w:asciiTheme="minorHAnsi" w:hAnsiTheme="minorHAnsi" w:cstheme="minorHAnsi"/>
          <w:sz w:val="22"/>
          <w:szCs w:val="22"/>
        </w:rPr>
        <w:t>type</w:t>
      </w:r>
      <w:proofErr w:type="gramEnd"/>
      <w:r w:rsidRPr="00465818">
        <w:rPr>
          <w:rFonts w:asciiTheme="minorHAnsi" w:hAnsiTheme="minorHAnsi" w:cstheme="minorHAnsi"/>
          <w:sz w:val="22"/>
          <w:szCs w:val="22"/>
        </w:rPr>
        <w:t>="</w:t>
      </w:r>
      <w:proofErr w:type="spellStart"/>
      <w:r w:rsidRPr="00465818">
        <w:rPr>
          <w:rFonts w:asciiTheme="minorHAnsi" w:hAnsiTheme="minorHAnsi" w:cstheme="minorHAnsi"/>
          <w:sz w:val="22"/>
          <w:szCs w:val="22"/>
        </w:rPr>
        <w:t>enum:enumerationItemType</w:t>
      </w:r>
      <w:proofErr w:type="spellEnd"/>
      <w:r w:rsidRPr="00465818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465818">
        <w:rPr>
          <w:rFonts w:asciiTheme="minorHAnsi" w:hAnsiTheme="minorHAnsi" w:cstheme="minorHAnsi"/>
          <w:sz w:val="22"/>
          <w:szCs w:val="22"/>
        </w:rPr>
        <w:t>xbrli:periodType</w:t>
      </w:r>
      <w:proofErr w:type="spellEnd"/>
      <w:r w:rsidRPr="00465818">
        <w:rPr>
          <w:rFonts w:asciiTheme="minorHAnsi" w:hAnsiTheme="minorHAnsi" w:cstheme="minorHAnsi"/>
          <w:sz w:val="22"/>
          <w:szCs w:val="22"/>
        </w:rPr>
        <w:t>="instant"/&gt;</w:t>
      </w:r>
    </w:p>
    <w:p w:rsidR="00E3678E" w:rsidRPr="00465818" w:rsidRDefault="00E3678E" w:rsidP="006E4A8E">
      <w:pPr>
        <w:rPr>
          <w:rFonts w:asciiTheme="minorHAnsi" w:hAnsiTheme="minorHAnsi" w:cstheme="minorHAnsi"/>
          <w:sz w:val="22"/>
          <w:szCs w:val="22"/>
        </w:rPr>
      </w:pPr>
    </w:p>
    <w:p w:rsidR="00C72A06" w:rsidRPr="00465818" w:rsidRDefault="00C72A06" w:rsidP="00C72A06">
      <w:pPr>
        <w:ind w:left="720" w:firstLine="131"/>
        <w:rPr>
          <w:rFonts w:asciiTheme="minorHAnsi" w:hAnsiTheme="minorHAnsi" w:cstheme="minorHAnsi"/>
          <w:sz w:val="22"/>
          <w:szCs w:val="22"/>
        </w:rPr>
      </w:pPr>
      <w:r w:rsidRPr="00465818">
        <w:rPr>
          <w:rFonts w:asciiTheme="minorHAnsi" w:hAnsiTheme="minorHAnsi" w:cstheme="minorHAnsi"/>
          <w:b/>
          <w:bCs/>
          <w:sz w:val="22"/>
          <w:szCs w:val="22"/>
        </w:rPr>
        <w:t>DPM</w:t>
      </w:r>
      <w:r w:rsidRPr="00465818">
        <w:rPr>
          <w:rFonts w:asciiTheme="minorHAnsi" w:hAnsiTheme="minorHAnsi" w:cstheme="minorHAnsi"/>
          <w:sz w:val="22"/>
          <w:szCs w:val="22"/>
        </w:rPr>
        <w:t> : (onglet met MD, à mettre en lien avec l’onglet du domaine concerné)</w:t>
      </w:r>
    </w:p>
    <w:p w:rsidR="005C13F4" w:rsidRDefault="005C13F4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tbl>
      <w:tblPr>
        <w:tblW w:w="10709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39"/>
        <w:gridCol w:w="834"/>
        <w:gridCol w:w="2825"/>
        <w:gridCol w:w="860"/>
        <w:gridCol w:w="1020"/>
        <w:gridCol w:w="1258"/>
        <w:gridCol w:w="1200"/>
      </w:tblGrid>
      <w:tr w:rsidR="00F2476B" w:rsidRPr="00F2476B" w:rsidTr="00F2476B">
        <w:trPr>
          <w:trHeight w:val="300"/>
        </w:trPr>
        <w:tc>
          <w:tcPr>
            <w:tcW w:w="197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Label</w:t>
            </w:r>
          </w:p>
        </w:tc>
        <w:tc>
          <w:tcPr>
            <w:tcW w:w="73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Name</w:t>
            </w:r>
          </w:p>
        </w:tc>
        <w:tc>
          <w:tcPr>
            <w:tcW w:w="834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proofErr w:type="spellStart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Owner</w:t>
            </w:r>
            <w:proofErr w:type="spellEnd"/>
          </w:p>
        </w:tc>
        <w:tc>
          <w:tcPr>
            <w:tcW w:w="2825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Data type</w:t>
            </w:r>
          </w:p>
        </w:tc>
        <w:tc>
          <w:tcPr>
            <w:tcW w:w="86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Domain</w:t>
            </w:r>
          </w:p>
        </w:tc>
        <w:tc>
          <w:tcPr>
            <w:tcW w:w="10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proofErr w:type="spellStart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Hierarchy</w:t>
            </w:r>
            <w:proofErr w:type="spellEnd"/>
          </w:p>
        </w:tc>
        <w:tc>
          <w:tcPr>
            <w:tcW w:w="1258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proofErr w:type="spellStart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Member</w:t>
            </w:r>
            <w:proofErr w:type="spellEnd"/>
          </w:p>
        </w:tc>
        <w:tc>
          <w:tcPr>
            <w:tcW w:w="12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proofErr w:type="spellStart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Period</w:t>
            </w:r>
            <w:proofErr w:type="spellEnd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 xml:space="preserve"> type</w:t>
            </w:r>
          </w:p>
        </w:tc>
      </w:tr>
      <w:tr w:rsidR="00F2476B" w:rsidRPr="00F2476B" w:rsidTr="00F2476B">
        <w:trPr>
          <w:trHeight w:val="300"/>
        </w:trPr>
        <w:tc>
          <w:tcPr>
            <w:tcW w:w="19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proofErr w:type="spellStart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Metric</w:t>
            </w:r>
            <w:proofErr w:type="spellEnd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:</w:t>
            </w:r>
          </w:p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 xml:space="preserve"> Participation (Solo)</w:t>
            </w:r>
          </w:p>
        </w:tc>
        <w:tc>
          <w:tcPr>
            <w:tcW w:w="7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ei1309</w:t>
            </w:r>
          </w:p>
        </w:tc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s2md</w:t>
            </w:r>
          </w:p>
        </w:tc>
        <w:tc>
          <w:tcPr>
            <w:tcW w:w="2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proofErr w:type="spellStart"/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enum:enumerationItemType</w:t>
            </w:r>
            <w:proofErr w:type="spellEnd"/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PU</w:t>
            </w:r>
          </w:p>
        </w:tc>
        <w:tc>
          <w:tcPr>
            <w:tcW w:w="10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2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Total/NA (s2c_PU:x0)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76B" w:rsidRPr="00F2476B" w:rsidRDefault="00F2476B" w:rsidP="00F2476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</w:pPr>
            <w:r w:rsidRPr="00F2476B">
              <w:rPr>
                <w:rFonts w:ascii="Times New Roman" w:eastAsia="Times New Roman" w:hAnsi="Times New Roman"/>
                <w:bCs/>
                <w:sz w:val="22"/>
                <w:szCs w:val="22"/>
                <w:lang w:eastAsia="fr-FR"/>
              </w:rPr>
              <w:t>instant</w:t>
            </w:r>
          </w:p>
        </w:tc>
      </w:tr>
    </w:tbl>
    <w:p w:rsidR="005C13F4" w:rsidRDefault="005C13F4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5C13F4" w:rsidRDefault="005C13F4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512EE5" w:rsidRDefault="00512EE5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512EE5" w:rsidRPr="00523F8B" w:rsidRDefault="002949FD" w:rsidP="00512EE5">
      <w:pPr>
        <w:keepNext/>
        <w:shd w:val="pct15" w:color="auto" w:fill="FFFFFF"/>
        <w:spacing w:before="480" w:after="120" w:line="280" w:lineRule="exact"/>
        <w:jc w:val="both"/>
        <w:outlineLvl w:val="0"/>
        <w:rPr>
          <w:rFonts w:asciiTheme="minorHAnsi" w:eastAsia="Times New Roman" w:hAnsiTheme="minorHAnsi" w:cstheme="minorHAnsi"/>
          <w:b/>
          <w:sz w:val="32"/>
          <w:szCs w:val="20"/>
          <w:lang w:eastAsia="fr-FR"/>
        </w:rPr>
      </w:pPr>
      <w:r w:rsidRPr="00523F8B">
        <w:rPr>
          <w:rFonts w:asciiTheme="minorHAnsi" w:eastAsia="Times New Roman" w:hAnsiTheme="minorHAnsi" w:cstheme="minorHAnsi"/>
          <w:b/>
          <w:sz w:val="32"/>
          <w:szCs w:val="20"/>
          <w:lang w:eastAsia="fr-FR"/>
        </w:rPr>
        <w:t xml:space="preserve">Règles </w:t>
      </w:r>
      <w:r w:rsidR="00512EE5" w:rsidRPr="00523F8B">
        <w:rPr>
          <w:rFonts w:asciiTheme="minorHAnsi" w:eastAsia="Times New Roman" w:hAnsiTheme="minorHAnsi" w:cstheme="minorHAnsi"/>
          <w:b/>
          <w:sz w:val="32"/>
          <w:szCs w:val="20"/>
          <w:lang w:eastAsia="fr-FR"/>
        </w:rPr>
        <w:t>à respecter</w:t>
      </w:r>
    </w:p>
    <w:p w:rsidR="00512EE5" w:rsidRDefault="00512EE5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2949FD" w:rsidRPr="00523F8B" w:rsidRDefault="002949FD" w:rsidP="006E4A8E">
      <w:p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523F8B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L’AEAPP demande des données correctes.</w:t>
      </w:r>
      <w:r w:rsidR="009A0C18" w:rsidRPr="00523F8B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 </w:t>
      </w:r>
      <w:r w:rsidRPr="00523F8B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Ces données doivent respecter :</w:t>
      </w:r>
      <w:r w:rsidR="009A0C18" w:rsidRPr="00523F8B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br/>
      </w:r>
    </w:p>
    <w:p w:rsidR="002949FD" w:rsidRPr="001C1875" w:rsidRDefault="002949FD" w:rsidP="002949FD">
      <w:pPr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Les validation</w:t>
      </w:r>
      <w:r w:rsidR="00523F8B"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s</w:t>
      </w: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 et contrôles inclus dans les taxonomies (sauf les contrôles indiqués comme « désactivés » par l’AEAPP</w:t>
      </w:r>
      <w:r w:rsidR="00523F8B"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)</w:t>
      </w: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 ;</w:t>
      </w:r>
    </w:p>
    <w:p w:rsidR="002949FD" w:rsidRPr="001C1875" w:rsidRDefault="002949FD" w:rsidP="00C15189">
      <w:pPr>
        <w:ind w:left="720"/>
        <w:rPr>
          <w:rFonts w:asciiTheme="minorHAnsi" w:eastAsia="Times New Roman" w:hAnsiTheme="minorHAnsi" w:cstheme="minorHAnsi"/>
          <w:bCs/>
          <w:sz w:val="16"/>
          <w:szCs w:val="16"/>
          <w:lang w:eastAsia="fr-FR"/>
        </w:rPr>
      </w:pPr>
    </w:p>
    <w:p w:rsidR="002949FD" w:rsidRPr="001C1875" w:rsidRDefault="002949FD" w:rsidP="00C1518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Les règles de remise définies par l’AEAPP dans son document « EIOPA XBRL </w:t>
      </w:r>
      <w:proofErr w:type="spellStart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Filing</w:t>
      </w:r>
      <w:proofErr w:type="spellEnd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 </w:t>
      </w:r>
      <w:proofErr w:type="spellStart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Rules</w:t>
      </w:r>
      <w:proofErr w:type="spellEnd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 for </w:t>
      </w:r>
      <w:proofErr w:type="spellStart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Preparatory</w:t>
      </w:r>
      <w:proofErr w:type="spellEnd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 Phase </w:t>
      </w:r>
      <w:proofErr w:type="spellStart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Reporting</w:t>
      </w:r>
      <w:proofErr w:type="spellEnd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 », publiées sur leur site à l’adresse</w:t>
      </w:r>
      <w:r w:rsidRPr="001C1875">
        <w:rPr>
          <w:rFonts w:asciiTheme="minorHAnsi" w:hAnsiTheme="minorHAnsi" w:cstheme="minorHAnsi"/>
          <w:sz w:val="22"/>
          <w:szCs w:val="22"/>
        </w:rPr>
        <w:t>:</w:t>
      </w:r>
      <w:r w:rsidRPr="001C1875">
        <w:rPr>
          <w:rFonts w:cs="Calibri"/>
          <w:sz w:val="22"/>
          <w:szCs w:val="22"/>
        </w:rPr>
        <w:t xml:space="preserve"> </w:t>
      </w:r>
      <w:hyperlink r:id="rId17" w:history="1">
        <w:r w:rsidRPr="001C1875">
          <w:rPr>
            <w:rStyle w:val="Lienhypertexte"/>
            <w:rFonts w:cs="Calibri"/>
            <w:color w:val="auto"/>
            <w:sz w:val="22"/>
            <w:szCs w:val="22"/>
          </w:rPr>
          <w:t>https://eiopa.europa.eu/regulation-supervision/insurance/reporting-format</w:t>
        </w:r>
      </w:hyperlink>
      <w:r w:rsidRPr="001C1875">
        <w:rPr>
          <w:rFonts w:cs="Calibri"/>
          <w:sz w:val="22"/>
          <w:szCs w:val="22"/>
        </w:rPr>
        <w:t xml:space="preserve"> </w:t>
      </w:r>
      <w:r w:rsidR="00FC764C" w:rsidRPr="001C1875">
        <w:rPr>
          <w:rFonts w:cs="Calibri"/>
          <w:sz w:val="22"/>
          <w:szCs w:val="22"/>
        </w:rPr>
        <w:t>, notamment les règles de codification des entités et des produits financiers qui ne sont pas toujours respectées.</w:t>
      </w:r>
      <w:r w:rsidRPr="001C1875">
        <w:rPr>
          <w:rFonts w:cs="Calibri"/>
          <w:sz w:val="22"/>
          <w:szCs w:val="22"/>
        </w:rPr>
        <w:br/>
      </w:r>
    </w:p>
    <w:p w:rsidR="002949FD" w:rsidRPr="001C1875" w:rsidRDefault="009A0C18" w:rsidP="002949FD">
      <w:pPr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Toutes l</w:t>
      </w:r>
      <w:r w:rsidR="00FC764C"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e</w:t>
      </w: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s règles inclu</w:t>
      </w:r>
      <w:r w:rsidR="00523F8B"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s</w:t>
      </w: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es dans les réglementations, même si elles ne sont pas explic</w:t>
      </w:r>
      <w:r w:rsidR="00523F8B"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i</w:t>
      </w: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tement contrôlées.</w:t>
      </w:r>
    </w:p>
    <w:p w:rsidR="002949FD" w:rsidRPr="001C1875" w:rsidRDefault="002949FD" w:rsidP="00523F8B">
      <w:pPr>
        <w:ind w:left="720"/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9A0C18" w:rsidRPr="001C1875" w:rsidRDefault="009A0C18" w:rsidP="006E4A8E">
      <w:p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Tout manquement à ces règles pourra conduire à une demande de resoumission.</w:t>
      </w:r>
    </w:p>
    <w:p w:rsidR="000011AF" w:rsidRDefault="000011AF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1C1875" w:rsidRPr="001C1875" w:rsidRDefault="001C1875" w:rsidP="006E4A8E">
      <w:pPr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1C1875" w:rsidRDefault="009A0C18" w:rsidP="006E4A8E">
      <w:p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L’ACPR / Banque de France a édicté ses propres règles, publiées sur le site e-SURFI (</w:t>
      </w:r>
      <w:hyperlink r:id="rId18" w:history="1">
        <w:r w:rsidRPr="001C1875">
          <w:rPr>
            <w:rStyle w:val="Lienhypertexte"/>
            <w:rFonts w:asciiTheme="minorHAnsi" w:hAnsiTheme="minorHAnsi" w:cstheme="minorHAnsi"/>
            <w:sz w:val="22"/>
            <w:szCs w:val="22"/>
          </w:rPr>
          <w:t>https://esurfi-assurance.banque-france.fr/uploads/tx_bdftechnicalinfos/R%C3%A8gles_de_remise_XBRL_ACPR_R1_0_4.pdf</w:t>
        </w:r>
      </w:hyperlink>
      <w:r w:rsidRPr="001C1875">
        <w:rPr>
          <w:rFonts w:asciiTheme="minorHAnsi" w:hAnsiTheme="minorHAnsi" w:cstheme="minorHAnsi"/>
          <w:color w:val="1F497D"/>
          <w:sz w:val="22"/>
          <w:szCs w:val="22"/>
        </w:rPr>
        <w:t>)</w:t>
      </w:r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, </w:t>
      </w:r>
    </w:p>
    <w:p w:rsidR="009A0C18" w:rsidRPr="001C1875" w:rsidRDefault="009A0C18" w:rsidP="006E4A8E">
      <w:p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proofErr w:type="gramStart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qui</w:t>
      </w:r>
      <w:proofErr w:type="gramEnd"/>
      <w:r w:rsidRPr="001C1875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 sont parfois plus restrictives que celles de l’EIOPA :</w:t>
      </w:r>
    </w:p>
    <w:p w:rsidR="009A0C18" w:rsidRPr="001C1875" w:rsidRDefault="009A0C18" w:rsidP="009A0C18">
      <w:pPr>
        <w:rPr>
          <w:sz w:val="16"/>
          <w:szCs w:val="16"/>
        </w:rPr>
      </w:pPr>
    </w:p>
    <w:p w:rsidR="009A0C18" w:rsidRDefault="009A0C18" w:rsidP="001C1875">
      <w:pPr>
        <w:ind w:left="357"/>
        <w:rPr>
          <w:sz w:val="22"/>
          <w:szCs w:val="22"/>
        </w:rPr>
      </w:pPr>
      <w:r w:rsidRPr="001C1875">
        <w:rPr>
          <w:sz w:val="22"/>
          <w:szCs w:val="22"/>
        </w:rPr>
        <w:t>2.14 : L’AEAPP ne fait pas mention de l’interdiction des segments dans les contextes (sauf celui des indic</w:t>
      </w:r>
      <w:r w:rsidR="001C1875">
        <w:rPr>
          <w:sz w:val="22"/>
          <w:szCs w:val="22"/>
        </w:rPr>
        <w:t>a</w:t>
      </w:r>
      <w:r w:rsidRPr="001C1875">
        <w:rPr>
          <w:sz w:val="22"/>
          <w:szCs w:val="22"/>
        </w:rPr>
        <w:t xml:space="preserve">teurs de remise – </w:t>
      </w:r>
      <w:proofErr w:type="spellStart"/>
      <w:r w:rsidRPr="001C1875">
        <w:rPr>
          <w:i/>
          <w:sz w:val="22"/>
          <w:szCs w:val="22"/>
        </w:rPr>
        <w:t>filing</w:t>
      </w:r>
      <w:proofErr w:type="spellEnd"/>
      <w:r w:rsidRPr="001C1875">
        <w:rPr>
          <w:i/>
          <w:sz w:val="22"/>
          <w:szCs w:val="22"/>
        </w:rPr>
        <w:t xml:space="preserve"> </w:t>
      </w:r>
      <w:proofErr w:type="spellStart"/>
      <w:r w:rsidRPr="001C1875">
        <w:rPr>
          <w:i/>
          <w:sz w:val="22"/>
          <w:szCs w:val="22"/>
        </w:rPr>
        <w:t>indicators</w:t>
      </w:r>
      <w:proofErr w:type="spellEnd"/>
      <w:r w:rsidRPr="001C1875">
        <w:rPr>
          <w:sz w:val="22"/>
          <w:szCs w:val="22"/>
        </w:rPr>
        <w:t>) contrairement aux règles de remise ACPR (et EBA).</w:t>
      </w:r>
    </w:p>
    <w:p w:rsidR="001C1875" w:rsidRPr="001C1875" w:rsidRDefault="001C1875" w:rsidP="001C1875">
      <w:pPr>
        <w:ind w:left="357"/>
        <w:rPr>
          <w:sz w:val="16"/>
          <w:szCs w:val="16"/>
        </w:rPr>
      </w:pPr>
    </w:p>
    <w:p w:rsidR="009A0C18" w:rsidRDefault="009A0C18" w:rsidP="001C1875">
      <w:pPr>
        <w:ind w:left="357"/>
        <w:rPr>
          <w:sz w:val="22"/>
          <w:szCs w:val="22"/>
        </w:rPr>
      </w:pPr>
      <w:r w:rsidRPr="001C1875">
        <w:rPr>
          <w:sz w:val="22"/>
          <w:szCs w:val="22"/>
        </w:rPr>
        <w:t xml:space="preserve">2.15 : L’ACPR précise qu’un contexte ne peut utiliser que des éléments </w:t>
      </w:r>
      <w:proofErr w:type="spellStart"/>
      <w:r w:rsidRPr="001C1875">
        <w:rPr>
          <w:sz w:val="22"/>
          <w:szCs w:val="22"/>
        </w:rPr>
        <w:t>explicitMember</w:t>
      </w:r>
      <w:proofErr w:type="spellEnd"/>
      <w:r w:rsidRPr="001C1875">
        <w:rPr>
          <w:sz w:val="22"/>
          <w:szCs w:val="22"/>
        </w:rPr>
        <w:t xml:space="preserve"> et </w:t>
      </w:r>
      <w:proofErr w:type="spellStart"/>
      <w:r w:rsidRPr="001C1875">
        <w:rPr>
          <w:sz w:val="22"/>
          <w:szCs w:val="22"/>
        </w:rPr>
        <w:t>typedMember</w:t>
      </w:r>
      <w:proofErr w:type="spellEnd"/>
      <w:r w:rsidR="001C1875">
        <w:rPr>
          <w:sz w:val="22"/>
          <w:szCs w:val="22"/>
        </w:rPr>
        <w:t>.</w:t>
      </w:r>
      <w:r w:rsidRPr="001C1875">
        <w:rPr>
          <w:sz w:val="22"/>
          <w:szCs w:val="22"/>
        </w:rPr>
        <w:t xml:space="preserve"> L’AEAPP n’en parle pas.</w:t>
      </w:r>
    </w:p>
    <w:p w:rsidR="001C1875" w:rsidRPr="001C1875" w:rsidRDefault="001C1875" w:rsidP="001C1875">
      <w:pPr>
        <w:ind w:left="357"/>
        <w:rPr>
          <w:sz w:val="16"/>
          <w:szCs w:val="16"/>
        </w:rPr>
      </w:pPr>
    </w:p>
    <w:p w:rsidR="009A0C18" w:rsidRDefault="009A0C18" w:rsidP="001C1875">
      <w:pPr>
        <w:ind w:left="357"/>
        <w:rPr>
          <w:sz w:val="22"/>
          <w:szCs w:val="22"/>
        </w:rPr>
      </w:pPr>
      <w:r w:rsidRPr="001C1875">
        <w:rPr>
          <w:sz w:val="22"/>
          <w:szCs w:val="22"/>
        </w:rPr>
        <w:t>2.20 : L’ACPR préconise de toujours préciser le @</w:t>
      </w:r>
      <w:proofErr w:type="spellStart"/>
      <w:r w:rsidRPr="001C1875">
        <w:rPr>
          <w:sz w:val="22"/>
          <w:szCs w:val="22"/>
        </w:rPr>
        <w:t>xml</w:t>
      </w:r>
      <w:proofErr w:type="spellEnd"/>
      <w:r w:rsidRPr="001C1875">
        <w:rPr>
          <w:sz w:val="22"/>
          <w:szCs w:val="22"/>
        </w:rPr>
        <w:t> </w:t>
      </w:r>
      <w:proofErr w:type="gramStart"/>
      <w:r w:rsidRPr="001C1875">
        <w:rPr>
          <w:sz w:val="22"/>
          <w:szCs w:val="22"/>
        </w:rPr>
        <w:t>:</w:t>
      </w:r>
      <w:proofErr w:type="spellStart"/>
      <w:r w:rsidRPr="001C1875">
        <w:rPr>
          <w:sz w:val="22"/>
          <w:szCs w:val="22"/>
        </w:rPr>
        <w:t>lang</w:t>
      </w:r>
      <w:proofErr w:type="spellEnd"/>
      <w:proofErr w:type="gramEnd"/>
      <w:r w:rsidRPr="001C1875">
        <w:rPr>
          <w:sz w:val="22"/>
          <w:szCs w:val="22"/>
        </w:rPr>
        <w:t>, quand l’AEAPP indique qu’il est possible de l’utiliser.</w:t>
      </w:r>
    </w:p>
    <w:p w:rsidR="001C1875" w:rsidRPr="001C1875" w:rsidRDefault="001C1875" w:rsidP="00FC764C">
      <w:pPr>
        <w:ind w:left="360"/>
      </w:pPr>
    </w:p>
    <w:p w:rsidR="00FC764C" w:rsidRPr="001C1875" w:rsidRDefault="009A0C18" w:rsidP="00FC764C">
      <w:pPr>
        <w:rPr>
          <w:sz w:val="22"/>
          <w:szCs w:val="22"/>
        </w:rPr>
      </w:pPr>
      <w:r w:rsidRPr="001C1875" w:rsidDel="009A0C18">
        <w:rPr>
          <w:sz w:val="22"/>
          <w:szCs w:val="22"/>
        </w:rPr>
        <w:t xml:space="preserve"> </w:t>
      </w:r>
      <w:r w:rsidR="00FC764C" w:rsidRPr="001C1875">
        <w:rPr>
          <w:sz w:val="22"/>
          <w:szCs w:val="22"/>
        </w:rPr>
        <w:t>Une règle AEAPP est plus restrictive que sa correspondante ACPR, elle doit être appliquée (la règle ACPR sera mise à jour prochainement) :</w:t>
      </w:r>
    </w:p>
    <w:p w:rsidR="00FC764C" w:rsidRPr="001C1875" w:rsidRDefault="00FC764C" w:rsidP="00FC764C">
      <w:pPr>
        <w:rPr>
          <w:sz w:val="16"/>
          <w:szCs w:val="16"/>
        </w:rPr>
      </w:pPr>
    </w:p>
    <w:p w:rsidR="00FC764C" w:rsidRPr="001C1875" w:rsidRDefault="00FC764C" w:rsidP="00FC764C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2.7 : L’AEAPP interdit les contextes inutilisés, alors que l’ACPR les déconseille</w:t>
      </w:r>
    </w:p>
    <w:p w:rsidR="00FC764C" w:rsidRDefault="00FC764C" w:rsidP="006E4A8E">
      <w:pPr>
        <w:rPr>
          <w:color w:val="1F497D"/>
        </w:rPr>
      </w:pPr>
    </w:p>
    <w:p w:rsidR="00FC764C" w:rsidRDefault="00FC764C" w:rsidP="00FC764C">
      <w:pPr>
        <w:rPr>
          <w:sz w:val="22"/>
          <w:szCs w:val="22"/>
        </w:rPr>
      </w:pPr>
      <w:r w:rsidRPr="001C1875">
        <w:rPr>
          <w:sz w:val="22"/>
          <w:szCs w:val="22"/>
        </w:rPr>
        <w:t>L’ACPR a édicté des règles qui lui sont spécif</w:t>
      </w:r>
      <w:r w:rsidR="001C1875" w:rsidRPr="001C1875">
        <w:rPr>
          <w:sz w:val="22"/>
          <w:szCs w:val="22"/>
        </w:rPr>
        <w:t>i</w:t>
      </w:r>
      <w:r w:rsidRPr="001C1875">
        <w:rPr>
          <w:sz w:val="22"/>
          <w:szCs w:val="22"/>
        </w:rPr>
        <w:t>ques :</w:t>
      </w:r>
    </w:p>
    <w:p w:rsidR="001C1875" w:rsidRPr="001C1875" w:rsidRDefault="001C1875" w:rsidP="00FC764C">
      <w:pPr>
        <w:rPr>
          <w:sz w:val="16"/>
          <w:szCs w:val="16"/>
        </w:rPr>
      </w:pPr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2.100 : Les déclarations d’espace de nommage doivent être utilisées</w:t>
      </w:r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Il est inutile de définir des espaces de nommages inutilisés.</w:t>
      </w:r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 xml:space="preserve">Tous  les espaces de nommage définis dans l’instance  (attributs  </w:t>
      </w:r>
      <w:proofErr w:type="spellStart"/>
      <w:r w:rsidRPr="001C1875">
        <w:rPr>
          <w:sz w:val="22"/>
          <w:szCs w:val="22"/>
        </w:rPr>
        <w:t>xmlns</w:t>
      </w:r>
      <w:proofErr w:type="spellEnd"/>
      <w:r w:rsidRPr="001C1875">
        <w:rPr>
          <w:sz w:val="22"/>
          <w:szCs w:val="22"/>
        </w:rPr>
        <w:t>)  doivent  être utilisés dans l’instance.</w:t>
      </w:r>
    </w:p>
    <w:p w:rsidR="00FC764C" w:rsidRDefault="00FC764C" w:rsidP="00FC764C"/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2.101 </w:t>
      </w:r>
      <w:proofErr w:type="gramStart"/>
      <w:r w:rsidRPr="001C1875">
        <w:rPr>
          <w:sz w:val="22"/>
          <w:szCs w:val="22"/>
        </w:rPr>
        <w:t>:  Les</w:t>
      </w:r>
      <w:proofErr w:type="gramEnd"/>
      <w:r w:rsidRPr="001C1875">
        <w:rPr>
          <w:sz w:val="22"/>
          <w:szCs w:val="22"/>
        </w:rPr>
        <w:t>  attributs @id doivent  être  utilisés  et  devraient  être  courts</w:t>
      </w:r>
      <w:r w:rsidR="001C1875">
        <w:rPr>
          <w:sz w:val="22"/>
          <w:szCs w:val="22"/>
        </w:rPr>
        <w:t>.</w:t>
      </w:r>
      <w:r w:rsidRPr="001C1875">
        <w:rPr>
          <w:sz w:val="22"/>
          <w:szCs w:val="22"/>
        </w:rPr>
        <w:t xml:space="preserve"> Des  attributs @id peuvent  être  utilisés  dans  les  balises  de  début  des  faits  pour  être référencés par des notes de bas de page (</w:t>
      </w:r>
      <w:proofErr w:type="spellStart"/>
      <w:r w:rsidRPr="001C1875">
        <w:rPr>
          <w:sz w:val="22"/>
          <w:szCs w:val="22"/>
        </w:rPr>
        <w:t>footnotes</w:t>
      </w:r>
      <w:proofErr w:type="spellEnd"/>
      <w:r w:rsidRPr="001C1875">
        <w:rPr>
          <w:sz w:val="22"/>
          <w:szCs w:val="22"/>
        </w:rPr>
        <w:t>). Il est inutile et pénalisant de définir des attributs @id non utilisés. Il est recommandé, pour des raisons de performance, d’utiliser des valeurs d’attribut @id courtes.</w:t>
      </w:r>
    </w:p>
    <w:p w:rsidR="00FC764C" w:rsidRPr="008C489A" w:rsidRDefault="00FC764C" w:rsidP="001C1875">
      <w:pPr>
        <w:ind w:left="360"/>
        <w:rPr>
          <w:sz w:val="16"/>
          <w:szCs w:val="16"/>
        </w:rPr>
      </w:pPr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2.102 : Un seul préfixe doit être associé à un espace de nommage (règle ACPR / Banque de France)</w:t>
      </w:r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Il  est interdit de  définir  simultanément (c’est-à-dire dans  la  balise  de  début  du  même élément) plusieurs  préfixes à un espace de nommage.</w:t>
      </w:r>
      <w:r w:rsidR="001C1875">
        <w:rPr>
          <w:sz w:val="22"/>
          <w:szCs w:val="22"/>
        </w:rPr>
        <w:t xml:space="preserve"> </w:t>
      </w:r>
      <w:r w:rsidRPr="001C1875">
        <w:rPr>
          <w:sz w:val="22"/>
          <w:szCs w:val="22"/>
        </w:rPr>
        <w:t>Cette  situation</w:t>
      </w:r>
      <w:r w:rsidR="001C1875">
        <w:rPr>
          <w:sz w:val="22"/>
          <w:szCs w:val="22"/>
        </w:rPr>
        <w:t xml:space="preserve"> </w:t>
      </w:r>
      <w:r w:rsidRPr="001C1875">
        <w:rPr>
          <w:sz w:val="22"/>
          <w:szCs w:val="22"/>
        </w:rPr>
        <w:t xml:space="preserve">peut conduire à des rejets. Un seul </w:t>
      </w:r>
      <w:proofErr w:type="gramStart"/>
      <w:r w:rsidRPr="001C1875">
        <w:rPr>
          <w:sz w:val="22"/>
          <w:szCs w:val="22"/>
        </w:rPr>
        <w:t>préfixe</w:t>
      </w:r>
      <w:proofErr w:type="gramEnd"/>
      <w:r w:rsidRPr="001C1875">
        <w:rPr>
          <w:sz w:val="22"/>
          <w:szCs w:val="22"/>
        </w:rPr>
        <w:t xml:space="preserve"> (y compris le préfixe par défaut) doit être associé simultanément à un espace de nommage.</w:t>
      </w:r>
    </w:p>
    <w:p w:rsidR="00FC764C" w:rsidRPr="008C489A" w:rsidRDefault="00FC764C" w:rsidP="001C1875">
      <w:pPr>
        <w:ind w:left="360"/>
        <w:rPr>
          <w:sz w:val="16"/>
          <w:szCs w:val="16"/>
        </w:rPr>
      </w:pPr>
      <w:bookmarkStart w:id="0" w:name="_GoBack"/>
      <w:bookmarkEnd w:id="0"/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 xml:space="preserve">3.101 : Taille limite des éléments </w:t>
      </w:r>
      <w:proofErr w:type="spellStart"/>
      <w:r w:rsidRPr="001C1875">
        <w:rPr>
          <w:sz w:val="22"/>
          <w:szCs w:val="22"/>
        </w:rPr>
        <w:t>footnotes</w:t>
      </w:r>
      <w:proofErr w:type="spellEnd"/>
      <w:r w:rsidRPr="001C1875">
        <w:rPr>
          <w:sz w:val="22"/>
          <w:szCs w:val="22"/>
        </w:rPr>
        <w:t xml:space="preserve"> (règle ACPR / Banque de France)</w:t>
      </w:r>
    </w:p>
    <w:p w:rsidR="00FC764C" w:rsidRPr="001C1875" w:rsidRDefault="00FC764C" w:rsidP="001C1875">
      <w:pPr>
        <w:ind w:left="360"/>
        <w:rPr>
          <w:sz w:val="22"/>
          <w:szCs w:val="22"/>
        </w:rPr>
      </w:pPr>
      <w:r w:rsidRPr="001C1875">
        <w:rPr>
          <w:sz w:val="22"/>
          <w:szCs w:val="22"/>
        </w:rPr>
        <w:t>Les notes  de  bas  de  page</w:t>
      </w:r>
      <w:r w:rsidR="001C1875">
        <w:rPr>
          <w:sz w:val="22"/>
          <w:szCs w:val="22"/>
        </w:rPr>
        <w:t xml:space="preserve"> </w:t>
      </w:r>
      <w:r w:rsidRPr="001C1875">
        <w:rPr>
          <w:sz w:val="22"/>
          <w:szCs w:val="22"/>
        </w:rPr>
        <w:t>(</w:t>
      </w:r>
      <w:proofErr w:type="spellStart"/>
      <w:r w:rsidRPr="001C1875">
        <w:rPr>
          <w:sz w:val="22"/>
          <w:szCs w:val="22"/>
        </w:rPr>
        <w:t>footnotes</w:t>
      </w:r>
      <w:proofErr w:type="spellEnd"/>
      <w:r w:rsidRPr="001C1875">
        <w:rPr>
          <w:sz w:val="22"/>
          <w:szCs w:val="22"/>
        </w:rPr>
        <w:t xml:space="preserve">) XBRL sont utilisées pour  associer  des  explications  à certains faits. La  taille  des  éléments </w:t>
      </w:r>
      <w:proofErr w:type="spellStart"/>
      <w:r w:rsidRPr="001C1875">
        <w:rPr>
          <w:sz w:val="22"/>
          <w:szCs w:val="22"/>
        </w:rPr>
        <w:t>footnotes</w:t>
      </w:r>
      <w:proofErr w:type="spellEnd"/>
      <w:r w:rsidRPr="001C1875">
        <w:rPr>
          <w:sz w:val="22"/>
          <w:szCs w:val="22"/>
        </w:rPr>
        <w:t xml:space="preserve"> ne doit pas dépasser 32 000 caractères (limite pour l’affichage des notes dans Microsoft Excel).</w:t>
      </w:r>
    </w:p>
    <w:p w:rsidR="00FC764C" w:rsidRPr="001C1875" w:rsidRDefault="00FC764C" w:rsidP="001C1875">
      <w:pPr>
        <w:ind w:left="360"/>
        <w:rPr>
          <w:sz w:val="22"/>
          <w:szCs w:val="22"/>
        </w:rPr>
      </w:pPr>
    </w:p>
    <w:p w:rsidR="007C0EB0" w:rsidRPr="000B6A43" w:rsidRDefault="007C0EB0" w:rsidP="00FC764C">
      <w:pPr>
        <w:rPr>
          <w:b/>
          <w:sz w:val="22"/>
          <w:szCs w:val="22"/>
        </w:rPr>
      </w:pPr>
    </w:p>
    <w:sectPr w:rsidR="007C0EB0" w:rsidRPr="000B6A43" w:rsidSect="00DA2B05">
      <w:headerReference w:type="even" r:id="rId19"/>
      <w:headerReference w:type="default" r:id="rId20"/>
      <w:footerReference w:type="even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C7" w:rsidRDefault="00A47FC7">
      <w:r>
        <w:separator/>
      </w:r>
    </w:p>
  </w:endnote>
  <w:endnote w:type="continuationSeparator" w:id="0">
    <w:p w:rsidR="00A47FC7" w:rsidRDefault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2690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382A" w:rsidRPr="001C1875" w:rsidRDefault="001F382A">
        <w:pPr>
          <w:pStyle w:val="Pieddepage"/>
          <w:jc w:val="center"/>
          <w:rPr>
            <w:sz w:val="22"/>
            <w:szCs w:val="22"/>
          </w:rPr>
        </w:pPr>
        <w:r w:rsidRPr="001C1875">
          <w:rPr>
            <w:sz w:val="22"/>
            <w:szCs w:val="22"/>
          </w:rPr>
          <w:fldChar w:fldCharType="begin"/>
        </w:r>
        <w:r w:rsidRPr="001C1875">
          <w:rPr>
            <w:sz w:val="22"/>
            <w:szCs w:val="22"/>
          </w:rPr>
          <w:instrText>PAGE   \* MERGEFORMAT</w:instrText>
        </w:r>
        <w:r w:rsidRPr="001C1875">
          <w:rPr>
            <w:sz w:val="22"/>
            <w:szCs w:val="22"/>
          </w:rPr>
          <w:fldChar w:fldCharType="separate"/>
        </w:r>
        <w:r w:rsidR="008C489A">
          <w:rPr>
            <w:noProof/>
            <w:sz w:val="22"/>
            <w:szCs w:val="22"/>
          </w:rPr>
          <w:t>5</w:t>
        </w:r>
        <w:r w:rsidRPr="001C1875">
          <w:rPr>
            <w:sz w:val="22"/>
            <w:szCs w:val="22"/>
          </w:rPr>
          <w:fldChar w:fldCharType="end"/>
        </w:r>
      </w:p>
    </w:sdtContent>
  </w:sdt>
  <w:p w:rsidR="00180CCE" w:rsidRDefault="00180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2C72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7ED" w:rsidRDefault="00D54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C7" w:rsidRDefault="00A47FC7">
      <w:r>
        <w:separator/>
      </w:r>
    </w:p>
  </w:footnote>
  <w:footnote w:type="continuationSeparator" w:id="0">
    <w:p w:rsidR="00A47FC7" w:rsidRDefault="00A4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2C72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7ED" w:rsidRDefault="00D547ED" w:rsidP="00A04D1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07122E">
    <w:pPr>
      <w:pStyle w:val="En-tte"/>
      <w:tabs>
        <w:tab w:val="clear" w:pos="9072"/>
      </w:tabs>
      <w:ind w:left="-630" w:right="-558"/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1DE"/>
    <w:multiLevelType w:val="hybridMultilevel"/>
    <w:tmpl w:val="556EF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C6D"/>
    <w:multiLevelType w:val="hybridMultilevel"/>
    <w:tmpl w:val="A90A7B44"/>
    <w:lvl w:ilvl="0" w:tplc="9F68DD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329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BF3579"/>
    <w:multiLevelType w:val="hybridMultilevel"/>
    <w:tmpl w:val="3BB27E8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576FA6"/>
    <w:multiLevelType w:val="hybridMultilevel"/>
    <w:tmpl w:val="44387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66C"/>
    <w:multiLevelType w:val="hybridMultilevel"/>
    <w:tmpl w:val="625E28EE"/>
    <w:lvl w:ilvl="0" w:tplc="68587776">
      <w:start w:val="1"/>
      <w:numFmt w:val="bullet"/>
      <w:lvlText w:val="-"/>
      <w:lvlJc w:val="left"/>
      <w:pPr>
        <w:ind w:left="16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A736A73"/>
    <w:multiLevelType w:val="hybridMultilevel"/>
    <w:tmpl w:val="D3004B18"/>
    <w:lvl w:ilvl="0" w:tplc="AD24F4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282D"/>
    <w:multiLevelType w:val="hybridMultilevel"/>
    <w:tmpl w:val="0F8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844F3"/>
    <w:multiLevelType w:val="hybridMultilevel"/>
    <w:tmpl w:val="256CF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157E0"/>
    <w:multiLevelType w:val="hybridMultilevel"/>
    <w:tmpl w:val="E34A21B8"/>
    <w:lvl w:ilvl="0" w:tplc="191CA56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0011AF"/>
    <w:rsid w:val="0000132E"/>
    <w:rsid w:val="00002E1C"/>
    <w:rsid w:val="00005DCC"/>
    <w:rsid w:val="00021188"/>
    <w:rsid w:val="00021FD7"/>
    <w:rsid w:val="0002730D"/>
    <w:rsid w:val="0002763A"/>
    <w:rsid w:val="00033E5F"/>
    <w:rsid w:val="0003606A"/>
    <w:rsid w:val="00036D74"/>
    <w:rsid w:val="000408C7"/>
    <w:rsid w:val="00041A4D"/>
    <w:rsid w:val="00046B9D"/>
    <w:rsid w:val="0005213E"/>
    <w:rsid w:val="00055247"/>
    <w:rsid w:val="00061EF2"/>
    <w:rsid w:val="00062BF9"/>
    <w:rsid w:val="00070D26"/>
    <w:rsid w:val="0007122E"/>
    <w:rsid w:val="00071576"/>
    <w:rsid w:val="00074F22"/>
    <w:rsid w:val="000825FB"/>
    <w:rsid w:val="00085782"/>
    <w:rsid w:val="00090195"/>
    <w:rsid w:val="0009172D"/>
    <w:rsid w:val="00093A7D"/>
    <w:rsid w:val="000958BC"/>
    <w:rsid w:val="000978E0"/>
    <w:rsid w:val="000A4000"/>
    <w:rsid w:val="000B4816"/>
    <w:rsid w:val="000B6A43"/>
    <w:rsid w:val="000B6E7A"/>
    <w:rsid w:val="000C6D70"/>
    <w:rsid w:val="000C7E16"/>
    <w:rsid w:val="000F2ECE"/>
    <w:rsid w:val="00104504"/>
    <w:rsid w:val="00114CD6"/>
    <w:rsid w:val="001240FC"/>
    <w:rsid w:val="001309CF"/>
    <w:rsid w:val="00135E2F"/>
    <w:rsid w:val="0014398F"/>
    <w:rsid w:val="00143A6C"/>
    <w:rsid w:val="001509D7"/>
    <w:rsid w:val="001625C3"/>
    <w:rsid w:val="0016518B"/>
    <w:rsid w:val="0017001E"/>
    <w:rsid w:val="00170477"/>
    <w:rsid w:val="001721C7"/>
    <w:rsid w:val="0017773F"/>
    <w:rsid w:val="00180CCE"/>
    <w:rsid w:val="00190AD7"/>
    <w:rsid w:val="001918EF"/>
    <w:rsid w:val="001A385E"/>
    <w:rsid w:val="001B28F2"/>
    <w:rsid w:val="001B5E04"/>
    <w:rsid w:val="001C11D2"/>
    <w:rsid w:val="001C1358"/>
    <w:rsid w:val="001C1875"/>
    <w:rsid w:val="001C29D2"/>
    <w:rsid w:val="001C3B96"/>
    <w:rsid w:val="001E5A71"/>
    <w:rsid w:val="001F0BE7"/>
    <w:rsid w:val="001F382A"/>
    <w:rsid w:val="001F6E0A"/>
    <w:rsid w:val="00202639"/>
    <w:rsid w:val="0021166A"/>
    <w:rsid w:val="002129A1"/>
    <w:rsid w:val="00214C1D"/>
    <w:rsid w:val="00215795"/>
    <w:rsid w:val="00215F4E"/>
    <w:rsid w:val="00216242"/>
    <w:rsid w:val="0022015F"/>
    <w:rsid w:val="00232A68"/>
    <w:rsid w:val="0023439A"/>
    <w:rsid w:val="00237AF1"/>
    <w:rsid w:val="002742A3"/>
    <w:rsid w:val="0028415A"/>
    <w:rsid w:val="002949FD"/>
    <w:rsid w:val="00294EF1"/>
    <w:rsid w:val="002A206D"/>
    <w:rsid w:val="002B3BB6"/>
    <w:rsid w:val="002C2195"/>
    <w:rsid w:val="002C2FDD"/>
    <w:rsid w:val="002C4B97"/>
    <w:rsid w:val="002C7282"/>
    <w:rsid w:val="002C78DB"/>
    <w:rsid w:val="002D38FF"/>
    <w:rsid w:val="002E6C99"/>
    <w:rsid w:val="002F07BF"/>
    <w:rsid w:val="002F28CA"/>
    <w:rsid w:val="003176D2"/>
    <w:rsid w:val="003326AE"/>
    <w:rsid w:val="0033357F"/>
    <w:rsid w:val="0033556B"/>
    <w:rsid w:val="003403BF"/>
    <w:rsid w:val="00340B45"/>
    <w:rsid w:val="0034197A"/>
    <w:rsid w:val="003611D8"/>
    <w:rsid w:val="00373967"/>
    <w:rsid w:val="00393693"/>
    <w:rsid w:val="003A6DC6"/>
    <w:rsid w:val="003B2656"/>
    <w:rsid w:val="003C5F99"/>
    <w:rsid w:val="003D0D5C"/>
    <w:rsid w:val="003D38D2"/>
    <w:rsid w:val="003D68C8"/>
    <w:rsid w:val="003E22DC"/>
    <w:rsid w:val="00400819"/>
    <w:rsid w:val="004109AC"/>
    <w:rsid w:val="0043717C"/>
    <w:rsid w:val="00441B23"/>
    <w:rsid w:val="004640EB"/>
    <w:rsid w:val="00465818"/>
    <w:rsid w:val="0046687B"/>
    <w:rsid w:val="00472726"/>
    <w:rsid w:val="004755DF"/>
    <w:rsid w:val="00481A21"/>
    <w:rsid w:val="00486C42"/>
    <w:rsid w:val="004877E2"/>
    <w:rsid w:val="00492B99"/>
    <w:rsid w:val="0049519E"/>
    <w:rsid w:val="004973F4"/>
    <w:rsid w:val="004B3964"/>
    <w:rsid w:val="004E3FCE"/>
    <w:rsid w:val="004E5175"/>
    <w:rsid w:val="004E6C3A"/>
    <w:rsid w:val="004F0D90"/>
    <w:rsid w:val="004F71B4"/>
    <w:rsid w:val="004F724B"/>
    <w:rsid w:val="004F7D4D"/>
    <w:rsid w:val="00503319"/>
    <w:rsid w:val="00503E1E"/>
    <w:rsid w:val="00512EE5"/>
    <w:rsid w:val="00523F8B"/>
    <w:rsid w:val="005240C9"/>
    <w:rsid w:val="005507B4"/>
    <w:rsid w:val="00554FDF"/>
    <w:rsid w:val="0058346D"/>
    <w:rsid w:val="00583B29"/>
    <w:rsid w:val="0059525C"/>
    <w:rsid w:val="00595D18"/>
    <w:rsid w:val="00597C71"/>
    <w:rsid w:val="005A2C80"/>
    <w:rsid w:val="005B1007"/>
    <w:rsid w:val="005C13F4"/>
    <w:rsid w:val="005D3C05"/>
    <w:rsid w:val="005E11A2"/>
    <w:rsid w:val="005E4B45"/>
    <w:rsid w:val="00600EDD"/>
    <w:rsid w:val="00607186"/>
    <w:rsid w:val="006123FE"/>
    <w:rsid w:val="006165E3"/>
    <w:rsid w:val="006169F7"/>
    <w:rsid w:val="00637752"/>
    <w:rsid w:val="00652475"/>
    <w:rsid w:val="00661437"/>
    <w:rsid w:val="0067241C"/>
    <w:rsid w:val="00683ACE"/>
    <w:rsid w:val="006930AE"/>
    <w:rsid w:val="00695EB6"/>
    <w:rsid w:val="006B07B3"/>
    <w:rsid w:val="006B1874"/>
    <w:rsid w:val="006C0DD0"/>
    <w:rsid w:val="006E20CD"/>
    <w:rsid w:val="006E4A8E"/>
    <w:rsid w:val="006F0C89"/>
    <w:rsid w:val="006F2611"/>
    <w:rsid w:val="006F7CF6"/>
    <w:rsid w:val="007050E6"/>
    <w:rsid w:val="007169FF"/>
    <w:rsid w:val="00717956"/>
    <w:rsid w:val="00737BAB"/>
    <w:rsid w:val="007420DF"/>
    <w:rsid w:val="007444BC"/>
    <w:rsid w:val="00754DD1"/>
    <w:rsid w:val="00757206"/>
    <w:rsid w:val="00765C11"/>
    <w:rsid w:val="00766CCA"/>
    <w:rsid w:val="00774FC7"/>
    <w:rsid w:val="00777CC0"/>
    <w:rsid w:val="0078079B"/>
    <w:rsid w:val="00783BD4"/>
    <w:rsid w:val="0078526B"/>
    <w:rsid w:val="00791707"/>
    <w:rsid w:val="00796BEC"/>
    <w:rsid w:val="007A76D2"/>
    <w:rsid w:val="007B1DB7"/>
    <w:rsid w:val="007C0EB0"/>
    <w:rsid w:val="007C6A6D"/>
    <w:rsid w:val="007D15B4"/>
    <w:rsid w:val="007D6760"/>
    <w:rsid w:val="007D6BC8"/>
    <w:rsid w:val="007E56A3"/>
    <w:rsid w:val="007F6183"/>
    <w:rsid w:val="008127EA"/>
    <w:rsid w:val="00812C1E"/>
    <w:rsid w:val="00815330"/>
    <w:rsid w:val="0082197B"/>
    <w:rsid w:val="0082664B"/>
    <w:rsid w:val="00836FD6"/>
    <w:rsid w:val="008420EC"/>
    <w:rsid w:val="008465A9"/>
    <w:rsid w:val="00847ED2"/>
    <w:rsid w:val="00853F68"/>
    <w:rsid w:val="00855F0A"/>
    <w:rsid w:val="00874FAC"/>
    <w:rsid w:val="00886092"/>
    <w:rsid w:val="0088659F"/>
    <w:rsid w:val="00894AD0"/>
    <w:rsid w:val="008952A5"/>
    <w:rsid w:val="008A1B80"/>
    <w:rsid w:val="008A340C"/>
    <w:rsid w:val="008C2151"/>
    <w:rsid w:val="008C489A"/>
    <w:rsid w:val="008C4FF1"/>
    <w:rsid w:val="008D49B2"/>
    <w:rsid w:val="008D706E"/>
    <w:rsid w:val="008F0F2E"/>
    <w:rsid w:val="008F3EC2"/>
    <w:rsid w:val="008F3F9C"/>
    <w:rsid w:val="00905422"/>
    <w:rsid w:val="00922A35"/>
    <w:rsid w:val="00930E3A"/>
    <w:rsid w:val="00931CB6"/>
    <w:rsid w:val="0095063F"/>
    <w:rsid w:val="009545E8"/>
    <w:rsid w:val="00961EAA"/>
    <w:rsid w:val="0096758B"/>
    <w:rsid w:val="00967851"/>
    <w:rsid w:val="0097089E"/>
    <w:rsid w:val="00970F8D"/>
    <w:rsid w:val="00981F56"/>
    <w:rsid w:val="009A0C18"/>
    <w:rsid w:val="009B339C"/>
    <w:rsid w:val="009B74E8"/>
    <w:rsid w:val="009B7970"/>
    <w:rsid w:val="009C304C"/>
    <w:rsid w:val="009C6825"/>
    <w:rsid w:val="009E5B6D"/>
    <w:rsid w:val="009F7AD6"/>
    <w:rsid w:val="00A04D1D"/>
    <w:rsid w:val="00A04F27"/>
    <w:rsid w:val="00A3190B"/>
    <w:rsid w:val="00A46350"/>
    <w:rsid w:val="00A47F7D"/>
    <w:rsid w:val="00A47FC7"/>
    <w:rsid w:val="00A54988"/>
    <w:rsid w:val="00A6112A"/>
    <w:rsid w:val="00A632CC"/>
    <w:rsid w:val="00A63B9D"/>
    <w:rsid w:val="00A66193"/>
    <w:rsid w:val="00A704E5"/>
    <w:rsid w:val="00A71F58"/>
    <w:rsid w:val="00A746B9"/>
    <w:rsid w:val="00A76402"/>
    <w:rsid w:val="00AA1F76"/>
    <w:rsid w:val="00AB1AA9"/>
    <w:rsid w:val="00AB2A94"/>
    <w:rsid w:val="00AD28F6"/>
    <w:rsid w:val="00AE2DB0"/>
    <w:rsid w:val="00AE4AC9"/>
    <w:rsid w:val="00AF247B"/>
    <w:rsid w:val="00AF2EB7"/>
    <w:rsid w:val="00B024C6"/>
    <w:rsid w:val="00B0463B"/>
    <w:rsid w:val="00B10905"/>
    <w:rsid w:val="00B1266B"/>
    <w:rsid w:val="00B14812"/>
    <w:rsid w:val="00B16B50"/>
    <w:rsid w:val="00B2478A"/>
    <w:rsid w:val="00B24CA4"/>
    <w:rsid w:val="00B52C8F"/>
    <w:rsid w:val="00B60D31"/>
    <w:rsid w:val="00B803E5"/>
    <w:rsid w:val="00B81478"/>
    <w:rsid w:val="00B816C0"/>
    <w:rsid w:val="00BA4CD7"/>
    <w:rsid w:val="00BB4B42"/>
    <w:rsid w:val="00BC1B66"/>
    <w:rsid w:val="00BD1969"/>
    <w:rsid w:val="00BE5383"/>
    <w:rsid w:val="00BF3D94"/>
    <w:rsid w:val="00BF5AE3"/>
    <w:rsid w:val="00C00B4D"/>
    <w:rsid w:val="00C02EE7"/>
    <w:rsid w:val="00C07D78"/>
    <w:rsid w:val="00C11EFE"/>
    <w:rsid w:val="00C137CE"/>
    <w:rsid w:val="00C15189"/>
    <w:rsid w:val="00C16115"/>
    <w:rsid w:val="00C274F0"/>
    <w:rsid w:val="00C278C9"/>
    <w:rsid w:val="00C329DB"/>
    <w:rsid w:val="00C42465"/>
    <w:rsid w:val="00C424EF"/>
    <w:rsid w:val="00C43A2A"/>
    <w:rsid w:val="00C52214"/>
    <w:rsid w:val="00C53CF3"/>
    <w:rsid w:val="00C57C6D"/>
    <w:rsid w:val="00C633A7"/>
    <w:rsid w:val="00C72A06"/>
    <w:rsid w:val="00C81840"/>
    <w:rsid w:val="00C93EFB"/>
    <w:rsid w:val="00C95975"/>
    <w:rsid w:val="00CA3674"/>
    <w:rsid w:val="00CA52D6"/>
    <w:rsid w:val="00CB23F6"/>
    <w:rsid w:val="00CB2CCF"/>
    <w:rsid w:val="00CC1689"/>
    <w:rsid w:val="00CC4292"/>
    <w:rsid w:val="00CD49B6"/>
    <w:rsid w:val="00CE049F"/>
    <w:rsid w:val="00CF4973"/>
    <w:rsid w:val="00D00477"/>
    <w:rsid w:val="00D17D5E"/>
    <w:rsid w:val="00D547ED"/>
    <w:rsid w:val="00D612F7"/>
    <w:rsid w:val="00D6554E"/>
    <w:rsid w:val="00D855F4"/>
    <w:rsid w:val="00D858CF"/>
    <w:rsid w:val="00D92816"/>
    <w:rsid w:val="00D93798"/>
    <w:rsid w:val="00D93EED"/>
    <w:rsid w:val="00D94A9B"/>
    <w:rsid w:val="00DA2B05"/>
    <w:rsid w:val="00DA4C19"/>
    <w:rsid w:val="00DA5DB8"/>
    <w:rsid w:val="00DB10E3"/>
    <w:rsid w:val="00DC39C0"/>
    <w:rsid w:val="00DC5C32"/>
    <w:rsid w:val="00DD2C24"/>
    <w:rsid w:val="00E3429E"/>
    <w:rsid w:val="00E3678E"/>
    <w:rsid w:val="00E4048C"/>
    <w:rsid w:val="00E409B9"/>
    <w:rsid w:val="00E47354"/>
    <w:rsid w:val="00E622AC"/>
    <w:rsid w:val="00E629ED"/>
    <w:rsid w:val="00E70A4F"/>
    <w:rsid w:val="00E766BA"/>
    <w:rsid w:val="00E90297"/>
    <w:rsid w:val="00EA2940"/>
    <w:rsid w:val="00EB7C3A"/>
    <w:rsid w:val="00EC6EB3"/>
    <w:rsid w:val="00EE1A32"/>
    <w:rsid w:val="00EE6AC1"/>
    <w:rsid w:val="00F062E3"/>
    <w:rsid w:val="00F10D4B"/>
    <w:rsid w:val="00F11978"/>
    <w:rsid w:val="00F228A8"/>
    <w:rsid w:val="00F2476B"/>
    <w:rsid w:val="00F56E2F"/>
    <w:rsid w:val="00F61368"/>
    <w:rsid w:val="00F93E30"/>
    <w:rsid w:val="00FA10A7"/>
    <w:rsid w:val="00FB2358"/>
    <w:rsid w:val="00FB316C"/>
    <w:rsid w:val="00FC764C"/>
    <w:rsid w:val="00FC78B0"/>
    <w:rsid w:val="00FE0D0E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D0047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link w:val="PieddepageCar"/>
    <w:uiPriority w:val="99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5C13F4"/>
    <w:pPr>
      <w:spacing w:before="0" w:after="0"/>
      <w:ind w:left="720"/>
    </w:pPr>
    <w:rPr>
      <w:rFonts w:eastAsiaTheme="minorHAns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F382A"/>
    <w:rPr>
      <w:rFonts w:ascii="Calibri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D0047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link w:val="PieddepageCar"/>
    <w:uiPriority w:val="99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5C13F4"/>
    <w:pPr>
      <w:spacing w:before="0" w:after="0"/>
      <w:ind w:left="720"/>
    </w:pPr>
    <w:rPr>
      <w:rFonts w:eastAsiaTheme="minorHAns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F382A"/>
    <w:rPr>
      <w:rFonts w:ascii="Calibri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iopa.europa.eu/xbrl/s2c/dict/dom/LB" TargetMode="External"/><Relationship Id="rId18" Type="http://schemas.openxmlformats.org/officeDocument/2006/relationships/hyperlink" Target="https://esurfi-assurance.banque-france.fr/uploads/tx_bdftechnicalinfos/R%C3%A8gles_de_remise_XBRL_ACPR_R1_0_4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ev.eiopa.europa.eu/Taxonomy/Preparatory/Common/EIOPA%20SII%20Preparatory%20Filing%20Rules.pdf" TargetMode="External"/><Relationship Id="rId17" Type="http://schemas.openxmlformats.org/officeDocument/2006/relationships/hyperlink" Target="https://eiopa.europa.eu/regulation-supervision/insurance/reporting-format" TargetMode="External"/><Relationship Id="rId2" Type="http://schemas.openxmlformats.org/officeDocument/2006/relationships/styles" Target="styles.xml"/><Relationship Id="rId16" Type="http://schemas.openxmlformats.org/officeDocument/2006/relationships/hyperlink" Target="http://eiopa.europa.eu/xbrl/s2c/role/dict/dom/PU/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eiopa.europa.eu/xbrl/s2c/role/dict/dom/PU/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xbrl.org/Specification/ext-enumeration/REC-2014-10-29/ext-enumeration-REC-2014-10-2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41DE0422.dotm</Template>
  <TotalTime>22</TotalTime>
  <Pages>5</Pages>
  <Words>1073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1</vt:lpstr>
    </vt:vector>
  </TitlesOfParts>
  <Company>Banque de France</Company>
  <LinksUpToDate>false</LinksUpToDate>
  <CharactersWithSpaces>8528</CharactersWithSpaces>
  <SharedDoc>false</SharedDoc>
  <HLinks>
    <vt:vector size="78" baseType="variant">
      <vt:variant>
        <vt:i4>4063278</vt:i4>
      </vt:variant>
      <vt:variant>
        <vt:i4>36</vt:i4>
      </vt:variant>
      <vt:variant>
        <vt:i4>0</vt:i4>
      </vt:variant>
      <vt:variant>
        <vt:i4>5</vt:i4>
      </vt:variant>
      <vt:variant>
        <vt:lpwstr>http://www.xbrl.org/utr/utr.xml</vt:lpwstr>
      </vt:variant>
      <vt:variant>
        <vt:lpwstr/>
      </vt:variant>
      <vt:variant>
        <vt:i4>4063270</vt:i4>
      </vt:variant>
      <vt:variant>
        <vt:i4>33</vt:i4>
      </vt:variant>
      <vt:variant>
        <vt:i4>0</vt:i4>
      </vt:variant>
      <vt:variant>
        <vt:i4>5</vt:i4>
      </vt:variant>
      <vt:variant>
        <vt:lpwstr>http://www.xbrl.org/RFC/PDU/PWD-2008-10-09/PDU-RFC-PWD-2008-10-09.html</vt:lpwstr>
      </vt:variant>
      <vt:variant>
        <vt:lpwstr/>
      </vt:variant>
      <vt:variant>
        <vt:i4>1310764</vt:i4>
      </vt:variant>
      <vt:variant>
        <vt:i4>30</vt:i4>
      </vt:variant>
      <vt:variant>
        <vt:i4>0</vt:i4>
      </vt:variant>
      <vt:variant>
        <vt:i4>5</vt:i4>
      </vt:variant>
      <vt:variant>
        <vt:lpwstr>http://www.xbrl.org/Specification/XBRL-RECOMMENDATION-2003-12-31+Corrected-Errata-2008-07-02.htm</vt:lpwstr>
      </vt:variant>
      <vt:variant>
        <vt:lpwstr>_4.6.7.2</vt:lpwstr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http://en.wikipedia.org/wiki/Standard_Business_Reporting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http://www.sec.gov/info/edgar/edmanuals.htm</vt:lpwstr>
      </vt:variant>
      <vt:variant>
        <vt:lpwstr/>
      </vt:variant>
      <vt:variant>
        <vt:i4>2687027</vt:i4>
      </vt:variant>
      <vt:variant>
        <vt:i4>21</vt:i4>
      </vt:variant>
      <vt:variant>
        <vt:i4>0</vt:i4>
      </vt:variant>
      <vt:variant>
        <vt:i4>5</vt:i4>
      </vt:variant>
      <vt:variant>
        <vt:lpwstr>http://www.ifrs.org/xbrl/resources/Pages/global-filing-manual.aspx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http://cen.eurofiling.info/wp-content/upLoads/data/CWA_XBRL_WI001-4-E.pdf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http://www.wikixbrl.info/index.php?title=European_Filing_Rules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http://cen.eurofiling.info/</vt:lpwstr>
      </vt:variant>
      <vt:variant>
        <vt:lpwstr/>
      </vt:variant>
      <vt:variant>
        <vt:i4>4915286</vt:i4>
      </vt:variant>
      <vt:variant>
        <vt:i4>9</vt:i4>
      </vt:variant>
      <vt:variant>
        <vt:i4>0</vt:i4>
      </vt:variant>
      <vt:variant>
        <vt:i4>5</vt:i4>
      </vt:variant>
      <vt:variant>
        <vt:lpwstr>http://acpr.banque-france.fr/solvabilite2/reporting.html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http://esurfi.banque-france.fr/banque/accueil/</vt:lpwstr>
      </vt:variant>
      <vt:variant>
        <vt:lpwstr/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http://www.xbrlfrance.org/les-formations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http://www.eba.europa.eu/documents/10180/502670/EBA+XBRL+Filing+Rules+for+v2.0.0.pdf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1</dc:title>
  <dc:creator>Sylvie</dc:creator>
  <cp:lastModifiedBy>Joëlle LIGER</cp:lastModifiedBy>
  <cp:revision>9</cp:revision>
  <cp:lastPrinted>2015-07-06T16:36:00Z</cp:lastPrinted>
  <dcterms:created xsi:type="dcterms:W3CDTF">2015-07-06T16:35:00Z</dcterms:created>
  <dcterms:modified xsi:type="dcterms:W3CDTF">2015-07-07T07:10:00Z</dcterms:modified>
</cp:coreProperties>
</file>