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56E5" w14:textId="77777777" w:rsidR="00AE4AC9" w:rsidRPr="008F3EC2" w:rsidRDefault="0078526B" w:rsidP="008F3EC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F3EC2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1DA05914" wp14:editId="1DA05915">
            <wp:simplePos x="0" y="0"/>
            <wp:positionH relativeFrom="column">
              <wp:posOffset>-561975</wp:posOffset>
            </wp:positionH>
            <wp:positionV relativeFrom="paragraph">
              <wp:posOffset>-263525</wp:posOffset>
            </wp:positionV>
            <wp:extent cx="1323975" cy="1181100"/>
            <wp:effectExtent l="19050" t="0" r="9525" b="0"/>
            <wp:wrapNone/>
            <wp:docPr id="2" name="Image 2" descr="logoACPR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ACPRb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AC9" w:rsidRPr="008F3EC2">
        <w:rPr>
          <w:rFonts w:ascii="Arial" w:hAnsi="Arial" w:cs="Arial"/>
          <w:b/>
          <w:sz w:val="32"/>
          <w:szCs w:val="32"/>
        </w:rPr>
        <w:t xml:space="preserve">Reportings </w:t>
      </w:r>
      <w:r w:rsidR="008F0F2E">
        <w:rPr>
          <w:rFonts w:ascii="Arial" w:hAnsi="Arial" w:cs="Arial"/>
          <w:b/>
          <w:sz w:val="32"/>
          <w:szCs w:val="32"/>
        </w:rPr>
        <w:t xml:space="preserve">bancaires </w:t>
      </w:r>
      <w:r w:rsidR="008F0F2E">
        <w:rPr>
          <w:rFonts w:ascii="Arial" w:hAnsi="Arial" w:cs="Arial"/>
          <w:b/>
          <w:sz w:val="32"/>
          <w:szCs w:val="32"/>
        </w:rPr>
        <w:br/>
        <w:t xml:space="preserve">et assuranciels </w:t>
      </w:r>
      <w:r w:rsidR="00874FAC" w:rsidRPr="008F3EC2">
        <w:rPr>
          <w:rFonts w:ascii="Arial" w:hAnsi="Arial" w:cs="Arial"/>
          <w:b/>
          <w:sz w:val="32"/>
          <w:szCs w:val="32"/>
        </w:rPr>
        <w:t>européens</w:t>
      </w:r>
      <w:r w:rsidR="008F0F2E" w:rsidRPr="008F3EC2">
        <w:rPr>
          <w:rFonts w:ascii="Arial" w:hAnsi="Arial" w:cs="Arial"/>
          <w:b/>
          <w:sz w:val="32"/>
          <w:szCs w:val="32"/>
        </w:rPr>
        <w:t xml:space="preserve"> </w:t>
      </w:r>
      <w:r w:rsidR="00874FAC" w:rsidRPr="008F3EC2">
        <w:rPr>
          <w:rFonts w:ascii="Arial" w:hAnsi="Arial" w:cs="Arial"/>
          <w:b/>
          <w:sz w:val="32"/>
          <w:szCs w:val="32"/>
        </w:rPr>
        <w:br/>
      </w:r>
      <w:r w:rsidR="00B024C6" w:rsidRPr="008F3EC2">
        <w:rPr>
          <w:rFonts w:ascii="Arial" w:hAnsi="Arial" w:cs="Arial"/>
          <w:b/>
          <w:sz w:val="32"/>
          <w:szCs w:val="32"/>
        </w:rPr>
        <w:t>Règles d</w:t>
      </w:r>
      <w:r w:rsidR="00874FAC" w:rsidRPr="008F3EC2">
        <w:rPr>
          <w:rFonts w:ascii="Arial" w:hAnsi="Arial" w:cs="Arial"/>
          <w:b/>
          <w:sz w:val="32"/>
          <w:szCs w:val="32"/>
        </w:rPr>
        <w:t>e remise XBRL</w:t>
      </w:r>
      <w:r w:rsidR="00DA5DB8" w:rsidRPr="008F3EC2">
        <w:rPr>
          <w:rFonts w:ascii="Arial" w:hAnsi="Arial" w:cs="Arial"/>
          <w:b/>
          <w:sz w:val="32"/>
          <w:szCs w:val="32"/>
        </w:rPr>
        <w:t xml:space="preserve"> pour</w:t>
      </w:r>
      <w:r w:rsidR="00DA5DB8" w:rsidRPr="008F3EC2">
        <w:rPr>
          <w:rFonts w:ascii="Arial" w:hAnsi="Arial" w:cs="Arial"/>
          <w:b/>
          <w:sz w:val="32"/>
          <w:szCs w:val="32"/>
        </w:rPr>
        <w:br/>
        <w:t>l’ACPR / Banque de France</w:t>
      </w:r>
    </w:p>
    <w:p w14:paraId="1DA056E6" w14:textId="2A6324F2" w:rsidR="00DA5DB8" w:rsidRPr="00A632CC" w:rsidRDefault="000A4000" w:rsidP="00DA5DB8">
      <w:pPr>
        <w:jc w:val="center"/>
        <w:rPr>
          <w:b/>
          <w:sz w:val="28"/>
          <w:szCs w:val="28"/>
        </w:rPr>
      </w:pPr>
      <w:r w:rsidRPr="00A632CC">
        <w:rPr>
          <w:b/>
          <w:sz w:val="28"/>
          <w:szCs w:val="28"/>
        </w:rPr>
        <w:t>Révision</w:t>
      </w:r>
      <w:r w:rsidR="00DA5DB8" w:rsidRPr="00A632CC">
        <w:rPr>
          <w:b/>
          <w:sz w:val="28"/>
          <w:szCs w:val="28"/>
        </w:rPr>
        <w:t xml:space="preserve"> 1.0</w:t>
      </w:r>
      <w:r w:rsidR="00DC39C0">
        <w:rPr>
          <w:b/>
          <w:sz w:val="28"/>
          <w:szCs w:val="28"/>
        </w:rPr>
        <w:t>.</w:t>
      </w:r>
      <w:r w:rsidR="00AD55BF">
        <w:rPr>
          <w:b/>
          <w:sz w:val="28"/>
          <w:szCs w:val="28"/>
        </w:rPr>
        <w:t>6</w:t>
      </w:r>
      <w:r w:rsidR="008D1D84">
        <w:rPr>
          <w:b/>
          <w:sz w:val="28"/>
          <w:szCs w:val="28"/>
        </w:rPr>
        <w:t> </w:t>
      </w:r>
      <w:r w:rsidR="00DA5DB8" w:rsidRPr="00A632CC">
        <w:rPr>
          <w:b/>
          <w:sz w:val="28"/>
          <w:szCs w:val="28"/>
        </w:rPr>
        <w:t xml:space="preserve">– </w:t>
      </w:r>
      <w:r w:rsidR="00AD55BF">
        <w:rPr>
          <w:b/>
          <w:sz w:val="28"/>
          <w:szCs w:val="28"/>
        </w:rPr>
        <w:t>21</w:t>
      </w:r>
      <w:r w:rsidR="00493EF5">
        <w:rPr>
          <w:b/>
          <w:sz w:val="28"/>
          <w:szCs w:val="28"/>
        </w:rPr>
        <w:t xml:space="preserve"> avril</w:t>
      </w:r>
      <w:r w:rsidR="002C707B">
        <w:rPr>
          <w:b/>
          <w:sz w:val="28"/>
          <w:szCs w:val="28"/>
        </w:rPr>
        <w:t xml:space="preserve"> 2016</w:t>
      </w:r>
    </w:p>
    <w:p w14:paraId="63D3C01C" w14:textId="349ED314" w:rsidR="00062602" w:rsidRDefault="00062602">
      <w:pPr>
        <w:spacing w:before="0" w:after="0"/>
        <w:rPr>
          <w:rFonts w:ascii="Arial" w:hAnsi="Arial" w:cs="Arial"/>
          <w:b/>
          <w:bCs/>
          <w:kern w:val="32"/>
          <w:sz w:val="32"/>
          <w:szCs w:val="32"/>
        </w:rPr>
      </w:pPr>
    </w:p>
    <w:p w14:paraId="1DA056F4" w14:textId="4AE239E4" w:rsidR="007A76D2" w:rsidRPr="00D94A9B" w:rsidRDefault="007A76D2" w:rsidP="00695EB6">
      <w:pPr>
        <w:pStyle w:val="Titre1"/>
      </w:pPr>
      <w:bookmarkStart w:id="1" w:name="_Toc446682850"/>
      <w:r w:rsidRPr="00D94A9B">
        <w:t>Introduction</w:t>
      </w:r>
      <w:bookmarkEnd w:id="1"/>
    </w:p>
    <w:p w14:paraId="1DA056F5" w14:textId="2636E907" w:rsidR="007A76D2" w:rsidRPr="00D94A9B" w:rsidRDefault="007A76D2" w:rsidP="00062602">
      <w:pPr>
        <w:jc w:val="both"/>
      </w:pPr>
      <w:r w:rsidRPr="00D94A9B">
        <w:t>Les spécifications XBRL (</w:t>
      </w:r>
      <w:proofErr w:type="spellStart"/>
      <w:r w:rsidRPr="00062602">
        <w:rPr>
          <w:i/>
        </w:rPr>
        <w:t>eXtensible</w:t>
      </w:r>
      <w:proofErr w:type="spellEnd"/>
      <w:r w:rsidRPr="00062602">
        <w:rPr>
          <w:i/>
        </w:rPr>
        <w:t xml:space="preserve"> Business Reporting </w:t>
      </w:r>
      <w:proofErr w:type="spellStart"/>
      <w:r w:rsidRPr="00062602">
        <w:rPr>
          <w:i/>
        </w:rPr>
        <w:t>Language</w:t>
      </w:r>
      <w:proofErr w:type="spellEnd"/>
      <w:r w:rsidRPr="00D94A9B">
        <w:t xml:space="preserve">) </w:t>
      </w:r>
      <w:r w:rsidR="00914A5D">
        <w:t>sont utilisées pour les collectes structurées de la supervis</w:t>
      </w:r>
      <w:r w:rsidR="001872D6">
        <w:t>i</w:t>
      </w:r>
      <w:r w:rsidR="00914A5D">
        <w:t>on bancaire et</w:t>
      </w:r>
      <w:r w:rsidR="00483E7F">
        <w:t xml:space="preserve"> </w:t>
      </w:r>
      <w:r w:rsidR="00914A5D">
        <w:t>a</w:t>
      </w:r>
      <w:r w:rsidR="00483E7F">
        <w:t>ssurantielle</w:t>
      </w:r>
      <w:r w:rsidRPr="00D94A9B">
        <w:t>.</w:t>
      </w:r>
    </w:p>
    <w:p w14:paraId="69ED8A3D" w14:textId="3C4BFAF3" w:rsidR="008D1D84" w:rsidRDefault="007A76D2" w:rsidP="00062602">
      <w:pPr>
        <w:jc w:val="both"/>
      </w:pPr>
      <w:r w:rsidRPr="00D94A9B">
        <w:t xml:space="preserve">Ce document précise les règles </w:t>
      </w:r>
      <w:r w:rsidR="00F32B6E">
        <w:t xml:space="preserve">communes </w:t>
      </w:r>
      <w:r w:rsidRPr="00D94A9B">
        <w:t xml:space="preserve">à suivre pour la génération des instances XBRL </w:t>
      </w:r>
      <w:r w:rsidR="008D1D84">
        <w:t>remises à l’ACPR / Banque de France appelées « Règles de remise » (</w:t>
      </w:r>
      <w:proofErr w:type="spellStart"/>
      <w:r w:rsidR="008D1D84">
        <w:rPr>
          <w:i/>
        </w:rPr>
        <w:t>Filing</w:t>
      </w:r>
      <w:proofErr w:type="spellEnd"/>
      <w:r w:rsidR="008D1D84">
        <w:rPr>
          <w:i/>
        </w:rPr>
        <w:t xml:space="preserve"> </w:t>
      </w:r>
      <w:proofErr w:type="spellStart"/>
      <w:r w:rsidR="008D1D84">
        <w:rPr>
          <w:i/>
        </w:rPr>
        <w:t>rules</w:t>
      </w:r>
      <w:proofErr w:type="spellEnd"/>
      <w:r w:rsidR="008D1D84" w:rsidRPr="008D1D84">
        <w:t>)</w:t>
      </w:r>
      <w:r w:rsidR="008D1D84">
        <w:t>.</w:t>
      </w:r>
    </w:p>
    <w:p w14:paraId="19906D90" w14:textId="77777777" w:rsidR="00F32B6E" w:rsidRDefault="00F32B6E" w:rsidP="00062602">
      <w:pPr>
        <w:jc w:val="both"/>
      </w:pPr>
      <w:r>
        <w:t>Ces règles complètent :</w:t>
      </w:r>
    </w:p>
    <w:p w14:paraId="38E53B46" w14:textId="6C8773D8" w:rsidR="008D1D84" w:rsidRDefault="008D1D84" w:rsidP="00F32B6E">
      <w:pPr>
        <w:numPr>
          <w:ilvl w:val="0"/>
          <w:numId w:val="9"/>
        </w:numPr>
        <w:jc w:val="both"/>
      </w:pPr>
      <w:r>
        <w:t>Pour les remises dans le cadre du Système européen de surveillance financière ou du Mécanisme de supervision unique (taxonomies CRR / CRD IV, FINREP Individuel ou Solvabilité II), elles complètent les règles édictées par les autorités européennes compétentes, appelées « Règles de remise européennes »</w:t>
      </w:r>
      <w:r w:rsidR="001872D6">
        <w:t xml:space="preserve"> (</w:t>
      </w:r>
      <w:r w:rsidR="001872D6">
        <w:rPr>
          <w:i/>
        </w:rPr>
        <w:t xml:space="preserve">EFR pour </w:t>
      </w:r>
      <w:proofErr w:type="spellStart"/>
      <w:r w:rsidR="001872D6">
        <w:rPr>
          <w:i/>
        </w:rPr>
        <w:t>European</w:t>
      </w:r>
      <w:proofErr w:type="spellEnd"/>
      <w:r w:rsidR="001872D6">
        <w:rPr>
          <w:i/>
        </w:rPr>
        <w:t xml:space="preserve"> </w:t>
      </w:r>
      <w:proofErr w:type="spellStart"/>
      <w:r w:rsidR="001872D6">
        <w:rPr>
          <w:i/>
        </w:rPr>
        <w:t>Filing</w:t>
      </w:r>
      <w:proofErr w:type="spellEnd"/>
      <w:r w:rsidR="001872D6">
        <w:rPr>
          <w:i/>
        </w:rPr>
        <w:t xml:space="preserve"> </w:t>
      </w:r>
      <w:proofErr w:type="spellStart"/>
      <w:r w:rsidR="001872D6">
        <w:rPr>
          <w:i/>
        </w:rPr>
        <w:t>Rules</w:t>
      </w:r>
      <w:proofErr w:type="spellEnd"/>
      <w:r w:rsidR="001872D6">
        <w:t>)</w:t>
      </w:r>
      <w:r>
        <w:t>.</w:t>
      </w:r>
    </w:p>
    <w:p w14:paraId="36889514" w14:textId="657B0A6E" w:rsidR="008D1D84" w:rsidRDefault="008D1D84" w:rsidP="00F32B6E">
      <w:pPr>
        <w:ind w:left="720"/>
        <w:jc w:val="both"/>
      </w:pPr>
      <w:r>
        <w:t>Les règles de remise applicables à une version de taxonomie donnée peuvent être trouvée</w:t>
      </w:r>
      <w:r w:rsidR="00F32B6E">
        <w:t>s</w:t>
      </w:r>
      <w:r>
        <w:t> :</w:t>
      </w:r>
    </w:p>
    <w:p w14:paraId="46BD03E3" w14:textId="1481B2C3" w:rsidR="008D1D84" w:rsidRDefault="008D1D84" w:rsidP="00F32B6E">
      <w:pPr>
        <w:numPr>
          <w:ilvl w:val="0"/>
          <w:numId w:val="8"/>
        </w:numPr>
        <w:ind w:left="1440"/>
        <w:jc w:val="both"/>
      </w:pPr>
      <w:r>
        <w:t>sur le site de l’ABE, pour les taxonomies du secteur bancaire</w:t>
      </w:r>
      <w:r w:rsidR="00510A05">
        <w:t xml:space="preserve"> : voir </w:t>
      </w:r>
      <w:hyperlink r:id="rId14" w:history="1">
        <w:r w:rsidR="00510A05" w:rsidRPr="00E41746">
          <w:rPr>
            <w:rStyle w:val="Lienhypertexte"/>
          </w:rPr>
          <w:t>http://www.eba.europa.eu/regulation-and-policy/supervisory-reporting/implementing-technical-standard-on-supervisory-reporting-data-point-model-</w:t>
        </w:r>
      </w:hyperlink>
      <w:r>
        <w:t> ;</w:t>
      </w:r>
    </w:p>
    <w:p w14:paraId="1DD0BFEF" w14:textId="7895F837" w:rsidR="008D1D84" w:rsidRDefault="008D1D84" w:rsidP="00F32B6E">
      <w:pPr>
        <w:numPr>
          <w:ilvl w:val="0"/>
          <w:numId w:val="8"/>
        </w:numPr>
        <w:ind w:left="1440"/>
        <w:jc w:val="both"/>
      </w:pPr>
      <w:r>
        <w:t>sur le site de l’AEAPP pour les taxonomies du secteur des assurances</w:t>
      </w:r>
      <w:r w:rsidR="00510A05">
        <w:t xml:space="preserve"> : voir </w:t>
      </w:r>
      <w:hyperlink r:id="rId15" w:history="1">
        <w:r w:rsidR="00510A05" w:rsidRPr="00E41746">
          <w:rPr>
            <w:rStyle w:val="Lienhypertexte"/>
          </w:rPr>
          <w:t>https://eiopa.europa.eu/regulation-supervision/insurance/reporting-format</w:t>
        </w:r>
      </w:hyperlink>
      <w:r>
        <w:t>.</w:t>
      </w:r>
    </w:p>
    <w:p w14:paraId="4F281F2D" w14:textId="2A09D25D" w:rsidR="00F32B6E" w:rsidRDefault="00F32B6E" w:rsidP="00F32B6E">
      <w:pPr>
        <w:numPr>
          <w:ilvl w:val="0"/>
          <w:numId w:val="8"/>
        </w:numPr>
        <w:jc w:val="both"/>
      </w:pPr>
      <w:r>
        <w:t>Pour les remises utilisant les taxonomies bancaires SURFI, SURFI Principale, Blanchiment, CREDIT_HAB…, la note technique Règles de remise XBRL : voir e-SURFI</w:t>
      </w:r>
      <w:r w:rsidR="001872D6">
        <w:t xml:space="preserve"> Banque</w:t>
      </w:r>
      <w:r w:rsidR="005C3B49">
        <w:t>. Les instructio</w:t>
      </w:r>
      <w:r w:rsidR="001872D6">
        <w:t>ns de ce document s’applique éga</w:t>
      </w:r>
      <w:r w:rsidR="005C3B49">
        <w:t xml:space="preserve">lement aux remises bancaires liées aux </w:t>
      </w:r>
      <w:r w:rsidR="001872D6">
        <w:t>réglementations</w:t>
      </w:r>
      <w:r w:rsidR="005C3B49">
        <w:t xml:space="preserve"> CRD, CRD II et CRD III (FINREP V1 et COREP V1).</w:t>
      </w:r>
    </w:p>
    <w:p w14:paraId="55A00957" w14:textId="23EB1DEF" w:rsidR="00F32B6E" w:rsidRDefault="00F32B6E" w:rsidP="00624AD5">
      <w:pPr>
        <w:numPr>
          <w:ilvl w:val="0"/>
          <w:numId w:val="8"/>
        </w:numPr>
        <w:jc w:val="both"/>
      </w:pPr>
      <w:r>
        <w:t xml:space="preserve">Pour les remises utilisant la taxonomie Blanchiment, </w:t>
      </w:r>
      <w:r w:rsidR="00624AD5">
        <w:t>communes aux secteurs banque et assurance, les remettants sont invités à consulter la note technique « Reporting selon le format XBRL » sur le site e-SURFI Banque (</w:t>
      </w:r>
      <w:hyperlink r:id="rId16" w:history="1">
        <w:r w:rsidR="00624AD5" w:rsidRPr="00C35731">
          <w:rPr>
            <w:rStyle w:val="Lienhypertexte"/>
          </w:rPr>
          <w:t>https://esurfi-banque.banque-france.fr/uploads/tx_bdftechnicalinfos/SGACP-note-technique-2010-03-V1-08.pdf</w:t>
        </w:r>
      </w:hyperlink>
      <w:r w:rsidR="00624AD5">
        <w:t xml:space="preserve">). </w:t>
      </w:r>
    </w:p>
    <w:p w14:paraId="1DA056F6" w14:textId="4F7129CE" w:rsidR="007A76D2" w:rsidRDefault="00510A05" w:rsidP="00062602">
      <w:pPr>
        <w:jc w:val="both"/>
      </w:pPr>
      <w:r>
        <w:t>Ces</w:t>
      </w:r>
      <w:r w:rsidR="007A76D2" w:rsidRPr="00D94A9B">
        <w:t xml:space="preserve"> s’ajoutent aux règles définies dans les spécifications XBRL</w:t>
      </w:r>
      <w:r>
        <w:t xml:space="preserve"> utilisées</w:t>
      </w:r>
      <w:r w:rsidR="007A76D2" w:rsidRPr="00D94A9B">
        <w:t xml:space="preserve"> : une instance XBRL reçue doit être valide et, sauf dérogation, </w:t>
      </w:r>
      <w:r w:rsidR="004E3FCE">
        <w:t xml:space="preserve">être conforme à l’ensemble des </w:t>
      </w:r>
      <w:r w:rsidR="00B816C0">
        <w:t>règles et réglemen</w:t>
      </w:r>
      <w:r w:rsidR="004E3FCE">
        <w:t>tation</w:t>
      </w:r>
      <w:r w:rsidR="00F32B6E">
        <w:t>s</w:t>
      </w:r>
      <w:r w:rsidR="004E3FCE">
        <w:t xml:space="preserve"> applicable</w:t>
      </w:r>
      <w:r w:rsidR="00D17D5E">
        <w:t>s</w:t>
      </w:r>
      <w:r w:rsidR="004E3FCE">
        <w:t xml:space="preserve"> (</w:t>
      </w:r>
      <w:r w:rsidR="007A76D2" w:rsidRPr="00D94A9B">
        <w:t>tous les contrôles définis dans la taxonomie doivent</w:t>
      </w:r>
      <w:r w:rsidR="004E3FCE">
        <w:t>, notamment</w:t>
      </w:r>
      <w:r w:rsidR="00F32B6E">
        <w:t>,</w:t>
      </w:r>
      <w:r w:rsidR="007A76D2" w:rsidRPr="00D94A9B">
        <w:t xml:space="preserve"> être satisfaits</w:t>
      </w:r>
      <w:r>
        <w:rPr>
          <w:rStyle w:val="Appelnotedebasdep"/>
        </w:rPr>
        <w:footnoteReference w:id="1"/>
      </w:r>
      <w:r w:rsidR="00D17D5E">
        <w:t>)</w:t>
      </w:r>
      <w:r w:rsidR="007A76D2" w:rsidRPr="00D94A9B">
        <w:t>.</w:t>
      </w:r>
    </w:p>
    <w:p w14:paraId="1DA056FB" w14:textId="77777777" w:rsidR="007A76D2" w:rsidRPr="00D94A9B" w:rsidRDefault="007A76D2" w:rsidP="00062602">
      <w:pPr>
        <w:jc w:val="both"/>
      </w:pPr>
      <w:r w:rsidRPr="00D94A9B">
        <w:lastRenderedPageBreak/>
        <w:t xml:space="preserve">Ce document </w:t>
      </w:r>
      <w:r w:rsidR="0021166A" w:rsidRPr="00D94A9B">
        <w:t xml:space="preserve">est destiné </w:t>
      </w:r>
      <w:r w:rsidR="0009172D" w:rsidRPr="00D94A9B">
        <w:t xml:space="preserve">à un public de techniciens informatiques ; il </w:t>
      </w:r>
      <w:r w:rsidRPr="00D94A9B">
        <w:t>suppose un minimum de connaissance des spécifications XBRL :</w:t>
      </w:r>
    </w:p>
    <w:p w14:paraId="1DA056FC" w14:textId="7C7EE499" w:rsidR="007A76D2" w:rsidRPr="00F32B6E" w:rsidRDefault="007A76D2" w:rsidP="00062602">
      <w:pPr>
        <w:ind w:left="720" w:hanging="360"/>
        <w:jc w:val="both"/>
      </w:pPr>
      <w:r w:rsidRPr="00F32B6E">
        <w:t>-</w:t>
      </w:r>
      <w:r w:rsidRPr="00F32B6E">
        <w:tab/>
        <w:t>XBRL</w:t>
      </w:r>
      <w:r w:rsidR="00F32B6E" w:rsidRPr="00F32B6E">
        <w:t> </w:t>
      </w:r>
      <w:r w:rsidRPr="00F32B6E">
        <w:t>2.1</w:t>
      </w:r>
      <w:r w:rsidR="0009172D" w:rsidRPr="00F32B6E">
        <w:t> </w:t>
      </w:r>
      <w:r w:rsidR="00C00B4D" w:rsidRPr="00F32B6E">
        <w:t>(</w:t>
      </w:r>
      <w:hyperlink r:id="rId17" w:history="1">
        <w:r w:rsidR="00C00B4D" w:rsidRPr="00F32B6E">
          <w:rPr>
            <w:rStyle w:val="Lienhypertexte"/>
          </w:rPr>
          <w:t>http://www.xbrl.org/Specification/XBRL-2.1/REC-2003-12-31/XBRL-2.1-REC-2003-12-31+corrected-errata-2013-02-20.html</w:t>
        </w:r>
      </w:hyperlink>
      <w:r w:rsidR="00C00B4D" w:rsidRPr="00F32B6E">
        <w:t xml:space="preserve">) </w:t>
      </w:r>
      <w:r w:rsidR="0009172D" w:rsidRPr="00F32B6E">
        <w:t>;</w:t>
      </w:r>
    </w:p>
    <w:p w14:paraId="1DA056FD" w14:textId="77777777" w:rsidR="007A76D2" w:rsidRPr="00D94A9B" w:rsidRDefault="007A76D2" w:rsidP="00062602">
      <w:pPr>
        <w:ind w:left="720" w:hanging="360"/>
        <w:jc w:val="both"/>
      </w:pPr>
      <w:r w:rsidRPr="00D94A9B">
        <w:t>-</w:t>
      </w:r>
      <w:r w:rsidRPr="00D94A9B">
        <w:tab/>
        <w:t>XBRL Dimensions</w:t>
      </w:r>
      <w:r w:rsidR="00C00B4D">
        <w:t xml:space="preserve"> (</w:t>
      </w:r>
      <w:hyperlink r:id="rId18" w:history="1">
        <w:r w:rsidR="00C00B4D" w:rsidRPr="0060112C">
          <w:rPr>
            <w:rStyle w:val="Lienhypertexte"/>
          </w:rPr>
          <w:t>http://www.xbrl.org/specification/dimensions/rec-2012-01-25/dimensions-rec-2006-09-18+corrected-errata-2012-01-25-clean.html</w:t>
        </w:r>
      </w:hyperlink>
      <w:r w:rsidR="00C00B4D">
        <w:t>)</w:t>
      </w:r>
      <w:r w:rsidR="0009172D" w:rsidRPr="00D94A9B">
        <w:t>.</w:t>
      </w:r>
    </w:p>
    <w:p w14:paraId="1DA056FE" w14:textId="77777777" w:rsidR="0009172D" w:rsidRPr="00D94A9B" w:rsidRDefault="0009172D" w:rsidP="00062602">
      <w:pPr>
        <w:ind w:left="360"/>
        <w:jc w:val="both"/>
      </w:pPr>
      <w:r w:rsidRPr="00D94A9B">
        <w:t xml:space="preserve">Des formations sur le sujet sont organisées par XBRL France, voir </w:t>
      </w:r>
      <w:hyperlink r:id="rId19" w:history="1">
        <w:r w:rsidRPr="00D94A9B">
          <w:rPr>
            <w:rStyle w:val="Lienhypertexte"/>
          </w:rPr>
          <w:t>http://www.xbrlfrance.org/les-formations</w:t>
        </w:r>
      </w:hyperlink>
      <w:r w:rsidRPr="00D94A9B">
        <w:t>.</w:t>
      </w:r>
    </w:p>
    <w:p w14:paraId="1DA05700" w14:textId="77777777" w:rsidR="00104504" w:rsidRPr="00D94A9B" w:rsidRDefault="00104504" w:rsidP="00062602">
      <w:pPr>
        <w:jc w:val="both"/>
      </w:pPr>
      <w:r>
        <w:t>Les noms d’attribut</w:t>
      </w:r>
      <w:r w:rsidR="0088659F">
        <w:t xml:space="preserve"> sont précédés par le caractère</w:t>
      </w:r>
      <w:r>
        <w:t xml:space="preserve"> « @ »</w:t>
      </w:r>
      <w:r w:rsidRPr="00104504">
        <w:t xml:space="preserve"> </w:t>
      </w:r>
      <w:r>
        <w:t>dans ce document, comme dans la syntaxe XPath.</w:t>
      </w:r>
    </w:p>
    <w:p w14:paraId="1DA05701" w14:textId="77777777" w:rsidR="007A76D2" w:rsidRDefault="007A76D2" w:rsidP="00062602">
      <w:pPr>
        <w:jc w:val="both"/>
      </w:pPr>
      <w:r w:rsidRPr="00D94A9B">
        <w:t>D’autres règles ou conseils peuvent s’appliquer en fonction des types de remises ; consultez le site e-SURFI</w:t>
      </w:r>
      <w:r w:rsidR="001240FC">
        <w:t> </w:t>
      </w:r>
      <w:hyperlink r:id="rId20" w:history="1">
        <w:r w:rsidR="001240FC" w:rsidRPr="00D93DAC">
          <w:rPr>
            <w:rStyle w:val="Lienhypertexte"/>
          </w:rPr>
          <w:t>http://esurfi.banque-france.fr/banque/accueil</w:t>
        </w:r>
      </w:hyperlink>
      <w:r w:rsidR="00B024C6">
        <w:t xml:space="preserve"> pour les remises bancaires et </w:t>
      </w:r>
      <w:hyperlink r:id="rId21" w:history="1">
        <w:r w:rsidR="004109AC" w:rsidRPr="004109AC">
          <w:rPr>
            <w:rStyle w:val="Lienhypertexte"/>
          </w:rPr>
          <w:t>http://acpr.banque-france.fr/solvabilite2/reporting.html</w:t>
        </w:r>
      </w:hyperlink>
      <w:r w:rsidR="00B024C6">
        <w:t xml:space="preserve"> pour les remises du secteur de l’assurance.</w:t>
      </w:r>
    </w:p>
    <w:p w14:paraId="7342205D" w14:textId="6F553B63" w:rsidR="005C3B49" w:rsidRDefault="005C3B49" w:rsidP="005C3B49">
      <w:pPr>
        <w:pStyle w:val="Titre1"/>
      </w:pPr>
      <w:bookmarkStart w:id="2" w:name="_Toc446682851"/>
      <w:r>
        <w:t>Types et codification des règles</w:t>
      </w:r>
      <w:bookmarkEnd w:id="2"/>
    </w:p>
    <w:p w14:paraId="33D438CE" w14:textId="722A4FE9" w:rsidR="005C3B49" w:rsidRDefault="005C3B49" w:rsidP="005C3B49">
      <w:r>
        <w:t>Deux types de règles existent :</w:t>
      </w:r>
    </w:p>
    <w:p w14:paraId="5C48A411" w14:textId="0DE812A0" w:rsidR="005C3B49" w:rsidRDefault="005C3B49" w:rsidP="005C3B49">
      <w:pPr>
        <w:numPr>
          <w:ilvl w:val="0"/>
          <w:numId w:val="13"/>
        </w:numPr>
      </w:pPr>
      <w:r>
        <w:t xml:space="preserve">les règles impératives (utilisation </w:t>
      </w:r>
      <w:r w:rsidR="00D72B44">
        <w:t>de l’impératif DOIT en français, M</w:t>
      </w:r>
      <w:r>
        <w:t>UST en anglais) qui doivent être obligatoirement suivies ;</w:t>
      </w:r>
    </w:p>
    <w:p w14:paraId="092E8F20" w14:textId="22AD8772" w:rsidR="005C3B49" w:rsidRPr="005C3B49" w:rsidRDefault="005C3B49" w:rsidP="005C3B49">
      <w:pPr>
        <w:numPr>
          <w:ilvl w:val="0"/>
          <w:numId w:val="13"/>
        </w:numPr>
      </w:pPr>
      <w:r>
        <w:t xml:space="preserve">les règles indicative (utilisation du conditionnel </w:t>
      </w:r>
      <w:r w:rsidR="00D72B44">
        <w:t xml:space="preserve">DEVRAIT en français, </w:t>
      </w:r>
      <w:r>
        <w:t>SHOULD en anglais) doit être suivies, sauf exception, selon la règle « se conformer ou s’expliquer).</w:t>
      </w:r>
    </w:p>
    <w:p w14:paraId="3BC77F33" w14:textId="3B08EC32" w:rsidR="005C3B49" w:rsidRDefault="005C3B49" w:rsidP="00062602">
      <w:pPr>
        <w:jc w:val="both"/>
      </w:pPr>
      <w:r>
        <w:t xml:space="preserve">Les règles dont le code commence par « F. » sont des </w:t>
      </w:r>
      <w:r w:rsidR="00624AD5">
        <w:t>variantes de règles européennes</w:t>
      </w:r>
      <w:r>
        <w:t>, généralement une transformation d’une règle indicative en une règle impérative, due à des contraintes locales</w:t>
      </w:r>
      <w:r w:rsidR="006F206D">
        <w:t xml:space="preserve"> ou un complément (par exemple, en donnant la liste des monnaies de remise utilisables)</w:t>
      </w:r>
      <w:r>
        <w:t xml:space="preserve">, exemple : </w:t>
      </w:r>
    </w:p>
    <w:p w14:paraId="493A0BE2" w14:textId="5FFDA468" w:rsidR="005C3B49" w:rsidRPr="00D94A9B" w:rsidRDefault="005C3B49" w:rsidP="00062602">
      <w:pPr>
        <w:jc w:val="both"/>
      </w:pPr>
      <w:r>
        <w:t>Les règles dont le code commence par « </w:t>
      </w:r>
      <w:r w:rsidR="00AA4819">
        <w:t>ACPR</w:t>
      </w:r>
      <w:r>
        <w:t xml:space="preserve">. » sont des </w:t>
      </w:r>
      <w:r w:rsidR="004E5A7D">
        <w:t>règles spécifiques de l’ACPR</w:t>
      </w:r>
    </w:p>
    <w:p w14:paraId="159696EB" w14:textId="0C68806E" w:rsidR="00F300DC" w:rsidRDefault="00F300DC" w:rsidP="00F300DC">
      <w:pPr>
        <w:pStyle w:val="Titre1"/>
      </w:pPr>
      <w:bookmarkStart w:id="3" w:name="_Toc446682852"/>
      <w:r>
        <w:t>Préfixes d’espaces de nommage canoniques</w:t>
      </w:r>
      <w:bookmarkEnd w:id="3"/>
    </w:p>
    <w:p w14:paraId="4D28810C" w14:textId="77777777" w:rsidR="00F300DC" w:rsidRDefault="00F300DC" w:rsidP="00F300DC"/>
    <w:p w14:paraId="0DE0442C" w14:textId="77777777" w:rsidR="00F300DC" w:rsidRDefault="00F300DC" w:rsidP="00F300DC">
      <w:pPr>
        <w:keepNext/>
        <w:keepLines/>
        <w:tabs>
          <w:tab w:val="left" w:pos="4678"/>
        </w:tabs>
        <w:jc w:val="both"/>
      </w:pPr>
      <w:r>
        <w:t>Un préfixe canonique est un préfixe d’espace de nommage XML défini par une spécification XBRL ou la taxonomie utilisée.</w:t>
      </w:r>
    </w:p>
    <w:p w14:paraId="7FDA1710" w14:textId="77777777" w:rsidR="00F300DC" w:rsidRDefault="00F300DC" w:rsidP="00F300DC">
      <w:pPr>
        <w:keepNext/>
        <w:keepLines/>
        <w:tabs>
          <w:tab w:val="left" w:pos="4678"/>
        </w:tabs>
        <w:jc w:val="both"/>
      </w:pPr>
      <w:r>
        <w:t>Les instances doivent utiliser les préfixes canoniques.</w:t>
      </w:r>
    </w:p>
    <w:p w14:paraId="4836FA3C" w14:textId="77777777" w:rsidR="00F300DC" w:rsidRDefault="00F300DC" w:rsidP="00F300DC">
      <w:pPr>
        <w:keepNext/>
        <w:keepLines/>
        <w:tabs>
          <w:tab w:val="left" w:pos="4678"/>
        </w:tabs>
        <w:jc w:val="both"/>
      </w:pPr>
      <w:r>
        <w:t>Les préfixes canoniques utilisés dans ce document sont les suivants :</w:t>
      </w:r>
    </w:p>
    <w:p w14:paraId="002A9928" w14:textId="77777777" w:rsidR="00F300DC" w:rsidRDefault="00F300DC" w:rsidP="00F300DC">
      <w:pPr>
        <w:keepNext/>
        <w:keepLines/>
        <w:tabs>
          <w:tab w:val="left" w:pos="4678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7"/>
        <w:gridCol w:w="7191"/>
      </w:tblGrid>
      <w:tr w:rsidR="00F300DC" w14:paraId="4B4E057C" w14:textId="77777777" w:rsidTr="00F300DC">
        <w:tc>
          <w:tcPr>
            <w:tcW w:w="2097" w:type="dxa"/>
          </w:tcPr>
          <w:p w14:paraId="7D424056" w14:textId="77777777" w:rsidR="00F300DC" w:rsidRPr="00F300DC" w:rsidRDefault="00F300DC" w:rsidP="00F300DC">
            <w:pPr>
              <w:keepNext/>
              <w:keepLines/>
              <w:tabs>
                <w:tab w:val="left" w:pos="4678"/>
              </w:tabs>
              <w:jc w:val="center"/>
            </w:pPr>
            <w:r w:rsidRPr="00F300DC">
              <w:t>Préfixe canonique</w:t>
            </w:r>
          </w:p>
        </w:tc>
        <w:tc>
          <w:tcPr>
            <w:tcW w:w="7191" w:type="dxa"/>
          </w:tcPr>
          <w:p w14:paraId="71AB14E8" w14:textId="77777777" w:rsidR="00F300DC" w:rsidRPr="00F300DC" w:rsidRDefault="00F300DC" w:rsidP="00F300DC">
            <w:pPr>
              <w:keepNext/>
              <w:keepLines/>
              <w:tabs>
                <w:tab w:val="left" w:pos="4678"/>
              </w:tabs>
              <w:jc w:val="center"/>
            </w:pPr>
            <w:r w:rsidRPr="00F300DC">
              <w:t>URL de l’espace de nommage (origine)</w:t>
            </w:r>
          </w:p>
        </w:tc>
      </w:tr>
      <w:tr w:rsidR="00F300DC" w14:paraId="7DE227CC" w14:textId="77777777" w:rsidTr="00F300DC">
        <w:tc>
          <w:tcPr>
            <w:tcW w:w="2097" w:type="dxa"/>
          </w:tcPr>
          <w:p w14:paraId="0B3553F8" w14:textId="77777777" w:rsidR="00F300DC" w:rsidRPr="00F300DC" w:rsidRDefault="00F300DC" w:rsidP="00F300DC">
            <w:pPr>
              <w:keepNext/>
              <w:keepLines/>
              <w:tabs>
                <w:tab w:val="left" w:pos="4678"/>
              </w:tabs>
              <w:ind w:left="180"/>
              <w:jc w:val="both"/>
            </w:pPr>
            <w:proofErr w:type="spellStart"/>
            <w:r w:rsidRPr="00F300DC">
              <w:t>xbrli</w:t>
            </w:r>
            <w:proofErr w:type="spellEnd"/>
          </w:p>
        </w:tc>
        <w:tc>
          <w:tcPr>
            <w:tcW w:w="7191" w:type="dxa"/>
          </w:tcPr>
          <w:p w14:paraId="17E3167B" w14:textId="77777777" w:rsidR="00F300DC" w:rsidRPr="00F300DC" w:rsidRDefault="00B507CF" w:rsidP="00F300DC">
            <w:pPr>
              <w:keepNext/>
              <w:keepLines/>
              <w:tabs>
                <w:tab w:val="left" w:pos="4678"/>
              </w:tabs>
              <w:jc w:val="both"/>
            </w:pPr>
            <w:hyperlink r:id="rId22" w:history="1">
              <w:r w:rsidR="00F300DC" w:rsidRPr="00F300DC">
                <w:rPr>
                  <w:rStyle w:val="Lienhypertexte"/>
                </w:rPr>
                <w:t>http://www.xbrl.org/2003/instance</w:t>
              </w:r>
            </w:hyperlink>
            <w:r w:rsidR="00F300DC" w:rsidRPr="00F300DC">
              <w:t xml:space="preserve"> (spécification XBRL 2.1)</w:t>
            </w:r>
          </w:p>
        </w:tc>
      </w:tr>
      <w:tr w:rsidR="00F300DC" w14:paraId="32EAD916" w14:textId="77777777" w:rsidTr="00F300DC">
        <w:tc>
          <w:tcPr>
            <w:tcW w:w="2097" w:type="dxa"/>
          </w:tcPr>
          <w:p w14:paraId="681DC95F" w14:textId="77777777" w:rsidR="00F300DC" w:rsidRPr="00F300DC" w:rsidRDefault="00F300DC" w:rsidP="00F300DC">
            <w:pPr>
              <w:keepNext/>
              <w:keepLines/>
              <w:tabs>
                <w:tab w:val="left" w:pos="4678"/>
              </w:tabs>
              <w:ind w:left="180"/>
              <w:jc w:val="both"/>
            </w:pPr>
            <w:r w:rsidRPr="00F300DC">
              <w:t>iso4217</w:t>
            </w:r>
          </w:p>
        </w:tc>
        <w:tc>
          <w:tcPr>
            <w:tcW w:w="7191" w:type="dxa"/>
          </w:tcPr>
          <w:p w14:paraId="59C342E9" w14:textId="77777777" w:rsidR="00F300DC" w:rsidRPr="00F300DC" w:rsidRDefault="00B507CF" w:rsidP="00F300DC">
            <w:pPr>
              <w:keepNext/>
              <w:keepLines/>
              <w:tabs>
                <w:tab w:val="left" w:pos="4678"/>
              </w:tabs>
              <w:jc w:val="both"/>
            </w:pPr>
            <w:hyperlink r:id="rId23" w:history="1">
              <w:r w:rsidR="00F300DC" w:rsidRPr="00F300DC">
                <w:rPr>
                  <w:rStyle w:val="Lienhypertexte"/>
                </w:rPr>
                <w:t>http://www.xbrl.org/2003/iso4217</w:t>
              </w:r>
            </w:hyperlink>
            <w:r w:rsidR="00F300DC" w:rsidRPr="00F300DC">
              <w:t xml:space="preserve"> (spécification XBRL 2.1)</w:t>
            </w:r>
          </w:p>
        </w:tc>
      </w:tr>
    </w:tbl>
    <w:p w14:paraId="1DA058D9" w14:textId="77777777" w:rsidR="00046B9D" w:rsidRPr="00046B9D" w:rsidRDefault="00046B9D" w:rsidP="00062602">
      <w:pPr>
        <w:pStyle w:val="Default"/>
        <w:jc w:val="both"/>
        <w:rPr>
          <w:b/>
          <w:bCs/>
          <w:sz w:val="20"/>
          <w:szCs w:val="20"/>
          <w:lang w:val="fr-FR"/>
        </w:rPr>
      </w:pPr>
    </w:p>
    <w:p w14:paraId="1DA058DA" w14:textId="605A08C3" w:rsidR="00815330" w:rsidRDefault="00815330" w:rsidP="001872D6">
      <w:pPr>
        <w:pStyle w:val="Titre1"/>
      </w:pPr>
      <w:bookmarkStart w:id="4" w:name="_Toc446682853"/>
      <w:r w:rsidRPr="00D94A9B">
        <w:lastRenderedPageBreak/>
        <w:t xml:space="preserve">Règles </w:t>
      </w:r>
      <w:r w:rsidR="006B5309">
        <w:t>spécifiques</w:t>
      </w:r>
      <w:bookmarkEnd w:id="4"/>
      <w:r w:rsidR="00624AD5">
        <w:t xml:space="preserve"> ou modifiées</w:t>
      </w:r>
    </w:p>
    <w:p w14:paraId="5BAEC368" w14:textId="77777777" w:rsidR="00E2569E" w:rsidRPr="00E2569E" w:rsidRDefault="00E2569E" w:rsidP="001872D6">
      <w:pPr>
        <w:keepNext/>
      </w:pPr>
    </w:p>
    <w:p w14:paraId="1DA058DB" w14:textId="1A66CFE2" w:rsidR="00815330" w:rsidRDefault="00606413" w:rsidP="001872D6">
      <w:pPr>
        <w:keepNext/>
        <w:jc w:val="both"/>
        <w:rPr>
          <w:b/>
        </w:rPr>
      </w:pPr>
      <w:r>
        <w:rPr>
          <w:b/>
        </w:rPr>
        <w:t>F.</w:t>
      </w:r>
      <w:r w:rsidR="006E20CD">
        <w:rPr>
          <w:b/>
        </w:rPr>
        <w:t>3.1</w:t>
      </w:r>
      <w:r w:rsidR="006F206D">
        <w:rPr>
          <w:b/>
        </w:rPr>
        <w:t>.a</w:t>
      </w:r>
      <w:r w:rsidR="00815330" w:rsidRPr="00E622AC">
        <w:rPr>
          <w:b/>
        </w:rPr>
        <w:t xml:space="preserve"> —</w:t>
      </w:r>
      <w:r w:rsidR="006F206D">
        <w:rPr>
          <w:b/>
        </w:rPr>
        <w:t xml:space="preserve"> </w:t>
      </w:r>
      <w:r w:rsidR="00F300DC">
        <w:rPr>
          <w:b/>
        </w:rPr>
        <w:t xml:space="preserve">Monnaie </w:t>
      </w:r>
      <w:r w:rsidR="0031229B">
        <w:rPr>
          <w:b/>
        </w:rPr>
        <w:t>de remise</w:t>
      </w:r>
    </w:p>
    <w:p w14:paraId="5E5ACAD7" w14:textId="1CD69650" w:rsidR="0031229B" w:rsidRPr="0031229B" w:rsidRDefault="0031229B" w:rsidP="001872D6">
      <w:pPr>
        <w:keepNext/>
        <w:ind w:left="360"/>
        <w:jc w:val="both"/>
      </w:pPr>
      <w:r>
        <w:t>La monnaie de remise (</w:t>
      </w:r>
      <w:proofErr w:type="spellStart"/>
      <w:r>
        <w:rPr>
          <w:i/>
        </w:rPr>
        <w:t>filing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currency</w:t>
      </w:r>
      <w:proofErr w:type="spellEnd"/>
      <w:r>
        <w:t xml:space="preserve">) est la monnaie utilisée par défaut dans </w:t>
      </w:r>
      <w:r w:rsidR="004E5A7D">
        <w:t>une</w:t>
      </w:r>
      <w:r>
        <w:t xml:space="preserve"> instance.</w:t>
      </w:r>
    </w:p>
    <w:p w14:paraId="2D0DB129" w14:textId="76A35C37" w:rsidR="00F300DC" w:rsidRDefault="00F300DC" w:rsidP="00062602">
      <w:pPr>
        <w:ind w:left="360"/>
        <w:jc w:val="both"/>
      </w:pPr>
      <w:r w:rsidRPr="0031229B">
        <w:t>Le</w:t>
      </w:r>
      <w:r w:rsidR="0031229B">
        <w:t>s instances transmises à l’ACPR / Banque de France utilisent généralement l’euro (code iso4217:EUR) comme monnaie de remise.</w:t>
      </w:r>
    </w:p>
    <w:p w14:paraId="6B1E3561" w14:textId="1ADD62E2" w:rsidR="0031229B" w:rsidRDefault="0031229B" w:rsidP="00062602">
      <w:pPr>
        <w:ind w:left="360"/>
        <w:jc w:val="both"/>
      </w:pPr>
      <w:r>
        <w:t>Cependant, certaines taxonomies SURFI du secteur bancaire demandent l’utilisation du franc pacifique (code iso4217:XPF) pour certains assujettis effectuant leurs opération dans cette monnaie.</w:t>
      </w:r>
    </w:p>
    <w:p w14:paraId="1BF12D96" w14:textId="4495433A" w:rsidR="004E5A7D" w:rsidRDefault="004E5A7D" w:rsidP="00062602">
      <w:pPr>
        <w:ind w:left="360"/>
        <w:jc w:val="both"/>
      </w:pPr>
      <w:r>
        <w:t>Une instance doit avoir une seule monnaie de remise.</w:t>
      </w:r>
    </w:p>
    <w:p w14:paraId="33B4B675" w14:textId="033D62D1" w:rsidR="006F206D" w:rsidRDefault="006F206D" w:rsidP="006F206D">
      <w:pPr>
        <w:ind w:left="1080" w:hanging="720"/>
        <w:jc w:val="both"/>
      </w:pPr>
      <w:r>
        <w:t>Note :</w:t>
      </w:r>
      <w:r>
        <w:tab/>
        <w:t>cette règle complète les règles ABE 3.1.a et AEAPP 3.1 en précisant les monnaies de remise utilisables.</w:t>
      </w:r>
    </w:p>
    <w:p w14:paraId="61BCE816" w14:textId="77777777" w:rsidR="00523F68" w:rsidRDefault="00523F68" w:rsidP="00062602">
      <w:pPr>
        <w:ind w:left="360"/>
        <w:jc w:val="both"/>
      </w:pPr>
    </w:p>
    <w:p w14:paraId="130452A8" w14:textId="0E9DFA8E" w:rsidR="00523F68" w:rsidRDefault="00523F68" w:rsidP="00523F68">
      <w:pPr>
        <w:jc w:val="both"/>
        <w:rPr>
          <w:b/>
        </w:rPr>
      </w:pPr>
      <w:r>
        <w:rPr>
          <w:b/>
        </w:rPr>
        <w:t>F.3.</w:t>
      </w:r>
      <w:r w:rsidR="004E5A7D">
        <w:rPr>
          <w:b/>
        </w:rPr>
        <w:t>1</w:t>
      </w:r>
      <w:r w:rsidR="006F206D">
        <w:rPr>
          <w:b/>
        </w:rPr>
        <w:t>.b</w:t>
      </w:r>
      <w:r w:rsidRPr="00E622AC">
        <w:rPr>
          <w:b/>
        </w:rPr>
        <w:t xml:space="preserve"> —</w:t>
      </w:r>
      <w:r w:rsidR="006F206D">
        <w:rPr>
          <w:b/>
        </w:rPr>
        <w:t xml:space="preserve"> Mon</w:t>
      </w:r>
      <w:r w:rsidR="00E83C8D">
        <w:rPr>
          <w:b/>
        </w:rPr>
        <w:t>n</w:t>
      </w:r>
      <w:r w:rsidR="006F206D">
        <w:rPr>
          <w:b/>
        </w:rPr>
        <w:t>aies d’origine</w:t>
      </w:r>
    </w:p>
    <w:p w14:paraId="0F1C0AC5" w14:textId="3392CB1C" w:rsidR="008B2351" w:rsidRDefault="00523F68" w:rsidP="008B2351">
      <w:pPr>
        <w:ind w:left="360"/>
        <w:jc w:val="both"/>
      </w:pPr>
      <w:r>
        <w:t xml:space="preserve">Certaines taxonomies CRR / CRD IV </w:t>
      </w:r>
      <w:r w:rsidR="005C6995">
        <w:t xml:space="preserve">(SBP, LCR, NSFR et ALM à la date de rédaction de ce document) </w:t>
      </w:r>
      <w:r>
        <w:t xml:space="preserve">demandent que certains </w:t>
      </w:r>
      <w:r w:rsidR="006F206D">
        <w:t>montants soient exprimés</w:t>
      </w:r>
      <w:r>
        <w:t xml:space="preserve"> dans la monnaie d’origine, donc, potentiellement, dans une monnaie autre que la monnaie de remise</w:t>
      </w:r>
      <w:r w:rsidR="006F206D">
        <w:t xml:space="preserve"> (</w:t>
      </w:r>
      <w:proofErr w:type="spellStart"/>
      <w:r w:rsidR="008B2351">
        <w:t>la</w:t>
      </w:r>
      <w:r w:rsidR="006F206D">
        <w:t>règle</w:t>
      </w:r>
      <w:proofErr w:type="spellEnd"/>
      <w:r w:rsidR="006F206D">
        <w:t xml:space="preserve"> ABE 3.1(b)</w:t>
      </w:r>
      <w:r w:rsidR="008B2351">
        <w:t xml:space="preserve"> s’applique</w:t>
      </w:r>
      <w:r w:rsidR="006F206D">
        <w:t>).</w:t>
      </w:r>
    </w:p>
    <w:p w14:paraId="2C879819" w14:textId="16B1B757" w:rsidR="00523F68" w:rsidRDefault="00523F68" w:rsidP="00062602">
      <w:pPr>
        <w:ind w:left="360"/>
        <w:jc w:val="both"/>
      </w:pPr>
      <w:r>
        <w:t>La taxonomie Solvabilité II permet aussi de remettre certaines données dans leur monnaie d’origine</w:t>
      </w:r>
      <w:r w:rsidR="00E83C8D">
        <w:t xml:space="preserve"> (</w:t>
      </w:r>
      <w:proofErr w:type="spellStart"/>
      <w:r w:rsidR="00E83C8D">
        <w:t>cf</w:t>
      </w:r>
      <w:proofErr w:type="spellEnd"/>
      <w:r w:rsidR="00E83C8D">
        <w:t xml:space="preserve"> règle AEAPP 3.1)</w:t>
      </w:r>
      <w:r>
        <w:t>, mais l’ACPR / Banque de France a</w:t>
      </w:r>
      <w:r w:rsidR="00E83C8D">
        <w:t xml:space="preserve"> pris l’option de demander à </w:t>
      </w:r>
      <w:r>
        <w:t>que tous les montants soient exprimés dans la monnaie de remise.</w:t>
      </w:r>
    </w:p>
    <w:p w14:paraId="13BAE839" w14:textId="37C4C9A8" w:rsidR="008B2351" w:rsidRPr="0031229B" w:rsidRDefault="008B2351" w:rsidP="00062602">
      <w:pPr>
        <w:ind w:left="360"/>
        <w:jc w:val="both"/>
      </w:pPr>
      <w:r>
        <w:t xml:space="preserve">Les montants des remises Solvabilité II et RAN DOIVENT tous être exprimés en euro ; la dimension </w:t>
      </w:r>
      <w:r w:rsidRPr="008B2351">
        <w:t>"</w:t>
      </w:r>
      <w:proofErr w:type="spellStart"/>
      <w:r w:rsidRPr="008B2351">
        <w:t>Currency</w:t>
      </w:r>
      <w:proofErr w:type="spellEnd"/>
      <w:r w:rsidRPr="008B2351">
        <w:t xml:space="preserve"> Conversion </w:t>
      </w:r>
      <w:proofErr w:type="spellStart"/>
      <w:r w:rsidRPr="008B2351">
        <w:t>Approach</w:t>
      </w:r>
      <w:proofErr w:type="spellEnd"/>
      <w:r w:rsidRPr="008B2351">
        <w:t>"</w:t>
      </w:r>
      <w:r>
        <w:t xml:space="preserve"> NE DOIT PAS être utilisée dans une instance.</w:t>
      </w:r>
    </w:p>
    <w:p w14:paraId="4F5AE8BA" w14:textId="77777777" w:rsidR="00013CEE" w:rsidRDefault="00013CEE" w:rsidP="00062602">
      <w:pPr>
        <w:ind w:left="360"/>
        <w:jc w:val="both"/>
        <w:rPr>
          <w:b/>
        </w:rPr>
      </w:pPr>
    </w:p>
    <w:p w14:paraId="69DD7B10" w14:textId="2F0E8820" w:rsidR="00E2569E" w:rsidRDefault="003045A1" w:rsidP="00E2569E">
      <w:pPr>
        <w:jc w:val="both"/>
        <w:rPr>
          <w:b/>
        </w:rPr>
      </w:pPr>
      <w:r>
        <w:rPr>
          <w:b/>
        </w:rPr>
        <w:t>ACPR</w:t>
      </w:r>
      <w:r w:rsidR="00A16E3C">
        <w:rPr>
          <w:b/>
        </w:rPr>
        <w:t>.3.5</w:t>
      </w:r>
      <w:r w:rsidR="00E2569E">
        <w:rPr>
          <w:b/>
        </w:rPr>
        <w:t xml:space="preserve"> </w:t>
      </w:r>
      <w:r w:rsidR="00E2569E" w:rsidRPr="00E622AC">
        <w:rPr>
          <w:b/>
        </w:rPr>
        <w:t>—</w:t>
      </w:r>
      <w:r w:rsidR="00E2569E" w:rsidRPr="00373967">
        <w:rPr>
          <w:b/>
        </w:rPr>
        <w:t xml:space="preserve"> </w:t>
      </w:r>
      <w:r w:rsidR="00E2569E">
        <w:rPr>
          <w:b/>
        </w:rPr>
        <w:t>Espace</w:t>
      </w:r>
      <w:r>
        <w:rPr>
          <w:b/>
        </w:rPr>
        <w:t>s</w:t>
      </w:r>
      <w:r w:rsidR="00E2569E">
        <w:rPr>
          <w:b/>
        </w:rPr>
        <w:t xml:space="preserve"> de nommage définis au début</w:t>
      </w:r>
    </w:p>
    <w:p w14:paraId="378636FF" w14:textId="41B9D414" w:rsidR="00A16E3C" w:rsidRDefault="00996ED5" w:rsidP="00E2569E">
      <w:pPr>
        <w:jc w:val="both"/>
      </w:pPr>
      <w:r>
        <w:t>Chaque espace de nommage</w:t>
      </w:r>
      <w:r w:rsidR="00A16E3C">
        <w:t xml:space="preserve"> DOIT être défini</w:t>
      </w:r>
      <w:r>
        <w:t xml:space="preserve"> une seule fois</w:t>
      </w:r>
      <w:r w:rsidR="00A16E3C">
        <w:t xml:space="preserve"> dans l’élément </w:t>
      </w:r>
      <w:proofErr w:type="spellStart"/>
      <w:r w:rsidR="00A16E3C">
        <w:t>xbrli:xbrl</w:t>
      </w:r>
      <w:proofErr w:type="spellEnd"/>
      <w:r w:rsidR="00A16E3C">
        <w:t xml:space="preserve">. </w:t>
      </w:r>
      <w:r>
        <w:t>AUCUN espace de nommage</w:t>
      </w:r>
      <w:r w:rsidR="00A16E3C">
        <w:t xml:space="preserve"> NE DOIT être redéfini dans l’instance.</w:t>
      </w:r>
    </w:p>
    <w:p w14:paraId="149143F7" w14:textId="6669B8B6" w:rsidR="00FE1ED1" w:rsidRPr="00A16E3C" w:rsidRDefault="00FE1ED1" w:rsidP="00FE1ED1">
      <w:pPr>
        <w:jc w:val="both"/>
      </w:pPr>
    </w:p>
    <w:p w14:paraId="792E972B" w14:textId="1431C972" w:rsidR="003C26A7" w:rsidRPr="00FE1ED1" w:rsidRDefault="003C26A7" w:rsidP="003C26A7">
      <w:pPr>
        <w:jc w:val="both"/>
        <w:rPr>
          <w:b/>
        </w:rPr>
      </w:pPr>
      <w:r w:rsidRPr="00FE1ED1">
        <w:rPr>
          <w:b/>
        </w:rPr>
        <w:t>F.</w:t>
      </w:r>
      <w:r w:rsidR="00A16E3C" w:rsidRPr="00FE1ED1">
        <w:rPr>
          <w:b/>
        </w:rPr>
        <w:t>S.2.23</w:t>
      </w:r>
      <w:r w:rsidR="000771F5">
        <w:rPr>
          <w:b/>
        </w:rPr>
        <w:t xml:space="preserve"> </w:t>
      </w:r>
      <w:r w:rsidRPr="00FE1ED1">
        <w:rPr>
          <w:b/>
        </w:rPr>
        <w:t>— Instruction de traitement</w:t>
      </w:r>
    </w:p>
    <w:p w14:paraId="74F76152" w14:textId="45123F90" w:rsidR="00FE1ED1" w:rsidRDefault="00FE1ED1" w:rsidP="00FE1ED1">
      <w:pPr>
        <w:jc w:val="both"/>
      </w:pPr>
      <w:r w:rsidRPr="00FE1ED1">
        <w:t>Le nom et la version du com</w:t>
      </w:r>
      <w:r>
        <w:t>p</w:t>
      </w:r>
      <w:r w:rsidRPr="00FE1ED1">
        <w:t>osant logiciel utilisé pour générer l’instance DEVRAIT apparaître dans une instruction de traitement XML (</w:t>
      </w:r>
      <w:proofErr w:type="spellStart"/>
      <w:r>
        <w:rPr>
          <w:i/>
        </w:rPr>
        <w:t>processing</w:t>
      </w:r>
      <w:proofErr w:type="spellEnd"/>
      <w:r>
        <w:rPr>
          <w:i/>
        </w:rPr>
        <w:t xml:space="preserve"> instruction</w:t>
      </w:r>
      <w:r>
        <w:t>), insérée après l’en-tête XML</w:t>
      </w:r>
      <w:r w:rsidR="000771F5">
        <w:t xml:space="preserve"> du document </w:t>
      </w:r>
      <w:r>
        <w:t>ONEGATE.</w:t>
      </w:r>
    </w:p>
    <w:p w14:paraId="2799321B" w14:textId="34DA87B6" w:rsidR="00FE1ED1" w:rsidRDefault="00FE1ED1" w:rsidP="00FE1ED1">
      <w:pPr>
        <w:jc w:val="both"/>
      </w:pPr>
      <w:r>
        <w:t xml:space="preserve">Cette instruction doit comporter au minimum </w:t>
      </w:r>
      <w:proofErr w:type="gramStart"/>
      <w:r>
        <w:t>les pseudo</w:t>
      </w:r>
      <w:proofErr w:type="gramEnd"/>
      <w:r>
        <w:t xml:space="preserve"> attributs « id », </w:t>
      </w:r>
      <w:r w:rsidR="003571BE">
        <w:t>identifiant</w:t>
      </w:r>
      <w:r>
        <w:t xml:space="preserve"> le composant </w:t>
      </w:r>
      <w:r w:rsidR="00996ED5">
        <w:t>logiciel</w:t>
      </w:r>
      <w:r>
        <w:t xml:space="preserve"> et « version », identifiant sa version. </w:t>
      </w:r>
      <w:r w:rsidRPr="00FE1ED1">
        <w:t>Elle peut contenir d’</w:t>
      </w:r>
      <w:r w:rsidRPr="00996ED5">
        <w:t xml:space="preserve">autres </w:t>
      </w:r>
      <w:proofErr w:type="gramStart"/>
      <w:r w:rsidRPr="00996ED5">
        <w:t>pseudo</w:t>
      </w:r>
      <w:proofErr w:type="gramEnd"/>
      <w:r w:rsidRPr="00996ED5">
        <w:t xml:space="preserve"> attributs et des commentaires XML additionnels peuvent </w:t>
      </w:r>
      <w:r>
        <w:t>être ajoutés.</w:t>
      </w:r>
    </w:p>
    <w:p w14:paraId="6008EEBA" w14:textId="0460E4AF" w:rsidR="00FE1ED1" w:rsidRDefault="00FE1ED1" w:rsidP="00FE1ED1">
      <w:pPr>
        <w:jc w:val="both"/>
      </w:pPr>
      <w:r w:rsidRPr="00996ED5">
        <w:t>C</w:t>
      </w:r>
      <w:r w:rsidRPr="00FE1ED1">
        <w:t>es infor</w:t>
      </w:r>
      <w:r w:rsidRPr="00996ED5">
        <w:t>mations sont des</w:t>
      </w:r>
      <w:r w:rsidRPr="00FE1ED1">
        <w:t xml:space="preserve"> métadonnées ; elle</w:t>
      </w:r>
      <w:r w:rsidR="000771F5">
        <w:t>s</w:t>
      </w:r>
      <w:r w:rsidRPr="00FE1ED1">
        <w:t xml:space="preserve"> ne doivent </w:t>
      </w:r>
      <w:r w:rsidRPr="00996ED5">
        <w:t>p</w:t>
      </w:r>
      <w:r>
        <w:t>a</w:t>
      </w:r>
      <w:r w:rsidRPr="00996ED5">
        <w:t xml:space="preserve">s modifier le </w:t>
      </w:r>
      <w:r>
        <w:t>sens des informations remises et être ignorées pour leur traitement.</w:t>
      </w:r>
    </w:p>
    <w:p w14:paraId="27E08991" w14:textId="513A5DD4" w:rsidR="00FE1ED1" w:rsidRPr="00AA4819" w:rsidRDefault="00FE1ED1" w:rsidP="00FE1ED1">
      <w:pPr>
        <w:jc w:val="both"/>
      </w:pPr>
      <w:r w:rsidRPr="00AA4819">
        <w:t>Exemple</w:t>
      </w:r>
      <w:r w:rsidR="00483E7F">
        <w:t xml:space="preserve"> (incluant une information sur la date de génération)</w:t>
      </w:r>
      <w:r w:rsidRPr="00AA4819">
        <w:t> :</w:t>
      </w:r>
    </w:p>
    <w:p w14:paraId="6C0A455B" w14:textId="77777777" w:rsidR="00FE1ED1" w:rsidRPr="000B2064" w:rsidRDefault="00FE1ED1" w:rsidP="001872D6">
      <w:pPr>
        <w:keepNext/>
        <w:jc w:val="both"/>
        <w:rPr>
          <w:rFonts w:ascii="Consolas" w:hAnsi="Consolas" w:cs="Consolas"/>
          <w:sz w:val="22"/>
          <w:szCs w:val="22"/>
          <w:lang w:val="en-US"/>
        </w:rPr>
      </w:pPr>
      <w:proofErr w:type="gramStart"/>
      <w:r w:rsidRPr="000B2064">
        <w:rPr>
          <w:rFonts w:ascii="Consolas" w:hAnsi="Consolas" w:cs="Consolas"/>
          <w:sz w:val="22"/>
          <w:szCs w:val="22"/>
          <w:lang w:val="en-US"/>
        </w:rPr>
        <w:lastRenderedPageBreak/>
        <w:t>&lt;?xml</w:t>
      </w:r>
      <w:proofErr w:type="gramEnd"/>
      <w:r w:rsidRPr="000B2064">
        <w:rPr>
          <w:rFonts w:ascii="Consolas" w:hAnsi="Consolas" w:cs="Consolas"/>
          <w:sz w:val="22"/>
          <w:szCs w:val="22"/>
          <w:lang w:val="en-US"/>
        </w:rPr>
        <w:t xml:space="preserve"> version="1.0" encoding="UTF-8"?&gt;</w:t>
      </w:r>
    </w:p>
    <w:p w14:paraId="6113B169" w14:textId="3A831145" w:rsidR="00FE1ED1" w:rsidRPr="000B2064" w:rsidRDefault="00FE1ED1" w:rsidP="001872D6">
      <w:pPr>
        <w:keepNext/>
        <w:rPr>
          <w:rFonts w:ascii="Consolas" w:hAnsi="Consolas" w:cs="Consolas"/>
          <w:sz w:val="22"/>
          <w:szCs w:val="22"/>
          <w:lang w:val="en-US"/>
        </w:rPr>
      </w:pPr>
      <w:proofErr w:type="gramStart"/>
      <w:r w:rsidRPr="000B2064">
        <w:rPr>
          <w:rFonts w:ascii="Consolas" w:hAnsi="Consolas" w:cs="Consolas"/>
          <w:sz w:val="22"/>
          <w:szCs w:val="22"/>
          <w:lang w:val="en-US"/>
        </w:rPr>
        <w:t>&lt;?instance</w:t>
      </w:r>
      <w:proofErr w:type="gramEnd"/>
      <w:r w:rsidRPr="000B2064">
        <w:rPr>
          <w:rFonts w:ascii="Consolas" w:hAnsi="Consolas" w:cs="Consolas"/>
          <w:sz w:val="22"/>
          <w:szCs w:val="22"/>
          <w:lang w:val="en-US"/>
        </w:rPr>
        <w:t>-generator id="</w:t>
      </w:r>
      <w:proofErr w:type="spellStart"/>
      <w:r w:rsidR="00483E7F" w:rsidRPr="000B2064">
        <w:rPr>
          <w:rFonts w:ascii="Consolas" w:hAnsi="Consolas" w:cs="Consolas"/>
          <w:sz w:val="22"/>
          <w:szCs w:val="22"/>
          <w:lang w:val="en-US"/>
        </w:rPr>
        <w:t>MySoftware</w:t>
      </w:r>
      <w:proofErr w:type="spellEnd"/>
      <w:r w:rsidRPr="000B2064">
        <w:rPr>
          <w:rFonts w:ascii="Consolas" w:hAnsi="Consolas" w:cs="Consolas"/>
          <w:sz w:val="22"/>
          <w:szCs w:val="22"/>
          <w:lang w:val="en-US"/>
        </w:rPr>
        <w:t xml:space="preserve">" version="2015.8.28.0" </w:t>
      </w:r>
      <w:proofErr w:type="spellStart"/>
      <w:r w:rsidRPr="000B2064">
        <w:rPr>
          <w:rFonts w:ascii="Consolas" w:hAnsi="Consolas" w:cs="Consolas"/>
          <w:sz w:val="22"/>
          <w:szCs w:val="22"/>
          <w:lang w:val="en-US"/>
        </w:rPr>
        <w:t>creationdate</w:t>
      </w:r>
      <w:proofErr w:type="spellEnd"/>
      <w:r w:rsidRPr="000B2064">
        <w:rPr>
          <w:rFonts w:ascii="Consolas" w:hAnsi="Consolas" w:cs="Consolas"/>
          <w:sz w:val="22"/>
          <w:szCs w:val="22"/>
          <w:lang w:val="en-US"/>
        </w:rPr>
        <w:t>="2016-04-01T16:53:43:00+02:00"?&gt;</w:t>
      </w:r>
    </w:p>
    <w:p w14:paraId="06EBBE8B" w14:textId="0BD8103E" w:rsidR="007F6701" w:rsidRDefault="007F6701" w:rsidP="001872D6">
      <w:pPr>
        <w:keepNext/>
        <w:ind w:left="720" w:hanging="720"/>
      </w:pPr>
      <w:r w:rsidRPr="007F6701">
        <w:t xml:space="preserve">Note : </w:t>
      </w:r>
      <w:r>
        <w:tab/>
      </w:r>
      <w:r w:rsidRPr="007F6701">
        <w:t>cette section clarifie l’utilisation de la règle AEAPP dans le cadre des remises dans ONEGATE.</w:t>
      </w:r>
    </w:p>
    <w:p w14:paraId="235F800B" w14:textId="77777777" w:rsidR="000B2064" w:rsidRPr="007F6701" w:rsidRDefault="000B2064" w:rsidP="001872D6">
      <w:pPr>
        <w:keepNext/>
        <w:ind w:left="720" w:hanging="720"/>
      </w:pPr>
    </w:p>
    <w:p w14:paraId="1DA05904" w14:textId="49C47F90" w:rsidR="005D3C05" w:rsidRDefault="000771F5" w:rsidP="00062602">
      <w:pPr>
        <w:jc w:val="both"/>
        <w:rPr>
          <w:b/>
        </w:rPr>
      </w:pPr>
      <w:r>
        <w:rPr>
          <w:b/>
        </w:rPr>
        <w:t>ACP</w:t>
      </w:r>
      <w:r w:rsidR="00996ED5">
        <w:rPr>
          <w:b/>
        </w:rPr>
        <w:t>R</w:t>
      </w:r>
      <w:r w:rsidR="00606413">
        <w:rPr>
          <w:b/>
        </w:rPr>
        <w:t>.</w:t>
      </w:r>
      <w:r w:rsidR="005D3C05">
        <w:rPr>
          <w:b/>
        </w:rPr>
        <w:t xml:space="preserve">3.100 </w:t>
      </w:r>
      <w:r w:rsidR="005D3C05" w:rsidRPr="00E622AC">
        <w:rPr>
          <w:b/>
        </w:rPr>
        <w:t>—</w:t>
      </w:r>
      <w:r w:rsidR="005D3C05" w:rsidRPr="00373967">
        <w:rPr>
          <w:b/>
        </w:rPr>
        <w:t xml:space="preserve"> </w:t>
      </w:r>
      <w:r w:rsidR="005D3C05">
        <w:rPr>
          <w:b/>
        </w:rPr>
        <w:t>Taille limite des faits (règle ACPR / Banque de France)</w:t>
      </w:r>
    </w:p>
    <w:p w14:paraId="1DA05905" w14:textId="7CCB3B97" w:rsidR="005D3C05" w:rsidRDefault="005D3C05" w:rsidP="00062602">
      <w:pPr>
        <w:jc w:val="both"/>
      </w:pPr>
      <w:r>
        <w:t xml:space="preserve">En raison de limite de stockage, la taille des faits est limitée à </w:t>
      </w:r>
      <w:r w:rsidR="00E60022" w:rsidRPr="00E60022">
        <w:t>4000 caractères</w:t>
      </w:r>
      <w:r>
        <w:t>.</w:t>
      </w:r>
    </w:p>
    <w:p w14:paraId="1DA05906" w14:textId="288609F9" w:rsidR="00F93E30" w:rsidRDefault="00F93E30" w:rsidP="00062602">
      <w:pPr>
        <w:ind w:left="360"/>
        <w:jc w:val="both"/>
        <w:rPr>
          <w:b/>
        </w:rPr>
      </w:pPr>
      <w:r>
        <w:rPr>
          <w:b/>
        </w:rPr>
        <w:t xml:space="preserve">La taille de la valeur d’un </w:t>
      </w:r>
      <w:r w:rsidR="005D3C05">
        <w:rPr>
          <w:b/>
        </w:rPr>
        <w:t xml:space="preserve">fait ne </w:t>
      </w:r>
      <w:r>
        <w:rPr>
          <w:b/>
        </w:rPr>
        <w:t xml:space="preserve">doit </w:t>
      </w:r>
      <w:r w:rsidR="005D3C05">
        <w:rPr>
          <w:b/>
        </w:rPr>
        <w:t>pas dépasser</w:t>
      </w:r>
      <w:r w:rsidR="007F6701">
        <w:rPr>
          <w:b/>
        </w:rPr>
        <w:t xml:space="preserve"> 4</w:t>
      </w:r>
      <w:r w:rsidR="00336A09">
        <w:rPr>
          <w:b/>
        </w:rPr>
        <w:t xml:space="preserve"> </w:t>
      </w:r>
      <w:r w:rsidR="007F6701">
        <w:rPr>
          <w:b/>
        </w:rPr>
        <w:t>000 caractères</w:t>
      </w:r>
      <w:r w:rsidR="005D3C05">
        <w:rPr>
          <w:b/>
        </w:rPr>
        <w:t>.</w:t>
      </w:r>
      <w:r>
        <w:rPr>
          <w:b/>
        </w:rPr>
        <w:t xml:space="preserve"> </w:t>
      </w:r>
    </w:p>
    <w:p w14:paraId="1DA05907" w14:textId="1D6413FD" w:rsidR="005D3C05" w:rsidRDefault="00E60022" w:rsidP="00E60022">
      <w:pPr>
        <w:ind w:left="720" w:hanging="720"/>
        <w:jc w:val="both"/>
      </w:pPr>
      <w:r w:rsidRPr="00E60022">
        <w:t>Note :</w:t>
      </w:r>
      <w:r w:rsidRPr="00E60022">
        <w:tab/>
      </w:r>
      <w:r w:rsidR="001872D6" w:rsidRPr="00E60022">
        <w:t>Un caractère codé en UTF-8 peut occuper plusieurs octets.</w:t>
      </w:r>
      <w:r w:rsidR="000B2064">
        <w:t xml:space="preserve"> </w:t>
      </w:r>
      <w:r w:rsidRPr="00E60022">
        <w:t xml:space="preserve">La limite précédente était de 500 caractères. </w:t>
      </w:r>
    </w:p>
    <w:p w14:paraId="21BFE324" w14:textId="77777777" w:rsidR="000B2064" w:rsidRPr="00E60022" w:rsidRDefault="000B2064" w:rsidP="00E60022">
      <w:pPr>
        <w:ind w:left="720" w:hanging="720"/>
        <w:jc w:val="both"/>
      </w:pPr>
    </w:p>
    <w:p w14:paraId="1DA05909" w14:textId="7561AEF4" w:rsidR="000A4000" w:rsidRDefault="000771F5" w:rsidP="00062602">
      <w:pPr>
        <w:jc w:val="both"/>
        <w:rPr>
          <w:b/>
        </w:rPr>
      </w:pPr>
      <w:r>
        <w:rPr>
          <w:b/>
        </w:rPr>
        <w:t>ACP</w:t>
      </w:r>
      <w:r w:rsidR="00996ED5">
        <w:rPr>
          <w:b/>
        </w:rPr>
        <w:t>R</w:t>
      </w:r>
      <w:r w:rsidR="00606413">
        <w:rPr>
          <w:b/>
        </w:rPr>
        <w:t>.</w:t>
      </w:r>
      <w:r w:rsidR="005D3C05">
        <w:rPr>
          <w:b/>
        </w:rPr>
        <w:t>3.101</w:t>
      </w:r>
      <w:r w:rsidR="000A4000">
        <w:rPr>
          <w:b/>
        </w:rPr>
        <w:t xml:space="preserve"> </w:t>
      </w:r>
      <w:r w:rsidR="000A4000" w:rsidRPr="00E622AC">
        <w:rPr>
          <w:b/>
        </w:rPr>
        <w:t>—</w:t>
      </w:r>
      <w:r w:rsidR="000A4000" w:rsidRPr="00373967">
        <w:rPr>
          <w:b/>
        </w:rPr>
        <w:t xml:space="preserve"> </w:t>
      </w:r>
      <w:r w:rsidR="000A4000">
        <w:rPr>
          <w:b/>
        </w:rPr>
        <w:t>Taille lim</w:t>
      </w:r>
      <w:r w:rsidR="00E83C8D">
        <w:rPr>
          <w:b/>
        </w:rPr>
        <w:t>ite des éléments footnotes</w:t>
      </w:r>
    </w:p>
    <w:p w14:paraId="1DA0590A" w14:textId="6A7E3C5C" w:rsidR="005D3C05" w:rsidRDefault="005D3C05" w:rsidP="00062602">
      <w:pPr>
        <w:jc w:val="both"/>
      </w:pPr>
      <w:r>
        <w:t xml:space="preserve">Les </w:t>
      </w:r>
      <w:r w:rsidR="00062602">
        <w:t>notes de bas de page</w:t>
      </w:r>
      <w:r w:rsidR="009134AF">
        <w:t xml:space="preserve"> (</w:t>
      </w:r>
      <w:r w:rsidR="009134AF" w:rsidRPr="009134AF">
        <w:rPr>
          <w:i/>
        </w:rPr>
        <w:t>footnotes</w:t>
      </w:r>
      <w:r w:rsidR="009134AF">
        <w:t xml:space="preserve">) </w:t>
      </w:r>
      <w:r w:rsidRPr="009134AF">
        <w:t>XBRL</w:t>
      </w:r>
      <w:r>
        <w:t xml:space="preserve"> sont utilisées pour associer des explications à certains faits.</w:t>
      </w:r>
    </w:p>
    <w:p w14:paraId="1DA0590B" w14:textId="3917AC7C" w:rsidR="000A4000" w:rsidRDefault="000A4000" w:rsidP="00062602">
      <w:pPr>
        <w:ind w:left="360"/>
        <w:jc w:val="both"/>
        <w:rPr>
          <w:b/>
        </w:rPr>
      </w:pPr>
      <w:r>
        <w:rPr>
          <w:b/>
        </w:rPr>
        <w:t xml:space="preserve">La taille des éléments </w:t>
      </w:r>
      <w:r w:rsidRPr="000A4000">
        <w:rPr>
          <w:b/>
          <w:i/>
        </w:rPr>
        <w:t>footnotes</w:t>
      </w:r>
      <w:r>
        <w:rPr>
          <w:b/>
        </w:rPr>
        <w:t xml:space="preserve"> </w:t>
      </w:r>
      <w:r w:rsidR="005D3C05">
        <w:rPr>
          <w:b/>
        </w:rPr>
        <w:t>ne doit pas dépasser</w:t>
      </w:r>
      <w:r>
        <w:rPr>
          <w:b/>
        </w:rPr>
        <w:t xml:space="preserve"> 32 000 caractères</w:t>
      </w:r>
      <w:r w:rsidR="00F93E30">
        <w:rPr>
          <w:b/>
        </w:rPr>
        <w:t xml:space="preserve"> (limite pour l’affichage des notes dans Microsoft Excel</w:t>
      </w:r>
      <w:r w:rsidR="00E60022">
        <w:rPr>
          <w:b/>
        </w:rPr>
        <w:t>®</w:t>
      </w:r>
      <w:r w:rsidR="00F93E30">
        <w:rPr>
          <w:b/>
        </w:rPr>
        <w:t>).</w:t>
      </w:r>
    </w:p>
    <w:p w14:paraId="125E83D1" w14:textId="77777777" w:rsidR="000771F5" w:rsidRDefault="000771F5" w:rsidP="00062602">
      <w:pPr>
        <w:ind w:left="360"/>
        <w:jc w:val="both"/>
        <w:rPr>
          <w:b/>
        </w:rPr>
      </w:pPr>
    </w:p>
    <w:p w14:paraId="5CCE9138" w14:textId="134F6ADC" w:rsidR="00996ED5" w:rsidRDefault="00996ED5" w:rsidP="00996ED5">
      <w:pPr>
        <w:jc w:val="both"/>
        <w:rPr>
          <w:b/>
        </w:rPr>
      </w:pPr>
    </w:p>
    <w:p w14:paraId="1DA0590E" w14:textId="4E431129" w:rsidR="00BF3D94" w:rsidRDefault="00E2569E" w:rsidP="00062602">
      <w:pPr>
        <w:pStyle w:val="Titre1"/>
      </w:pPr>
      <w:r>
        <w:br w:type="column"/>
      </w:r>
      <w:bookmarkStart w:id="5" w:name="_Toc446682854"/>
      <w:r w:rsidR="00BF3D94">
        <w:lastRenderedPageBreak/>
        <w:t>Historique</w:t>
      </w:r>
      <w:bookmarkEnd w:id="5"/>
    </w:p>
    <w:p w14:paraId="1DA0590F" w14:textId="77777777" w:rsidR="00BF3D94" w:rsidRDefault="00BF3D94" w:rsidP="00E83C8D">
      <w:pPr>
        <w:pStyle w:val="Titre1"/>
        <w:jc w:val="left"/>
        <w:rPr>
          <w:rFonts w:ascii="Calibri" w:hAnsi="Calibri" w:cs="Times New Roman"/>
          <w:b w:val="0"/>
          <w:bCs w:val="0"/>
          <w:kern w:val="0"/>
          <w:sz w:val="24"/>
          <w:szCs w:val="24"/>
        </w:rPr>
      </w:pPr>
      <w:bookmarkStart w:id="6" w:name="_Toc446682855"/>
      <w:r w:rsidRPr="00C432AF">
        <w:rPr>
          <w:rFonts w:ascii="Calibri" w:hAnsi="Calibri" w:cs="Times New Roman"/>
          <w:bCs w:val="0"/>
          <w:kern w:val="0"/>
          <w:sz w:val="24"/>
          <w:szCs w:val="24"/>
        </w:rPr>
        <w:t>Révision 1.0.1</w:t>
      </w:r>
      <w:r w:rsidRPr="00C432AF">
        <w:rPr>
          <w:rFonts w:ascii="Calibri" w:hAnsi="Calibri" w:cs="Times New Roman"/>
          <w:bCs w:val="0"/>
          <w:kern w:val="0"/>
          <w:sz w:val="24"/>
          <w:szCs w:val="24"/>
        </w:rPr>
        <w:br/>
      </w:r>
      <w:r w:rsidRPr="00BF3D94">
        <w:rPr>
          <w:rFonts w:ascii="Calibri" w:hAnsi="Calibri" w:cs="Times New Roman"/>
          <w:b w:val="0"/>
          <w:bCs w:val="0"/>
          <w:kern w:val="0"/>
          <w:sz w:val="24"/>
          <w:szCs w:val="24"/>
        </w:rPr>
        <w:t xml:space="preserve">Clarification </w:t>
      </w:r>
      <w:r>
        <w:rPr>
          <w:rFonts w:ascii="Calibri" w:hAnsi="Calibri" w:cs="Times New Roman"/>
          <w:b w:val="0"/>
          <w:bCs w:val="0"/>
          <w:kern w:val="0"/>
          <w:sz w:val="24"/>
          <w:szCs w:val="24"/>
        </w:rPr>
        <w:t>concernant la précision des données</w:t>
      </w:r>
      <w:r w:rsidR="00FF1BB3">
        <w:rPr>
          <w:rFonts w:ascii="Calibri" w:hAnsi="Calibri" w:cs="Times New Roman"/>
          <w:b w:val="0"/>
          <w:bCs w:val="0"/>
          <w:kern w:val="0"/>
          <w:sz w:val="24"/>
          <w:szCs w:val="24"/>
        </w:rPr>
        <w:t>.</w:t>
      </w:r>
      <w:bookmarkEnd w:id="6"/>
    </w:p>
    <w:p w14:paraId="1DA05910" w14:textId="016D18D7" w:rsidR="00BF3D94" w:rsidRDefault="00BF3D94" w:rsidP="00C432AF">
      <w:pPr>
        <w:rPr>
          <w:b/>
          <w:bCs/>
        </w:rPr>
      </w:pPr>
      <w:r w:rsidRPr="00C432AF">
        <w:rPr>
          <w:b/>
        </w:rPr>
        <w:t>Révision 1.0.2 – 24/06/2014</w:t>
      </w:r>
      <w:r w:rsidR="000D1587" w:rsidRPr="00C432AF">
        <w:rPr>
          <w:b/>
        </w:rPr>
        <w:t xml:space="preserve"> (interne</w:t>
      </w:r>
      <w:proofErr w:type="gramStart"/>
      <w:r w:rsidR="000D1587" w:rsidRPr="00C432AF">
        <w:rPr>
          <w:b/>
        </w:rPr>
        <w:t>)</w:t>
      </w:r>
      <w:proofErr w:type="gramEnd"/>
      <w:r w:rsidRPr="00C432AF">
        <w:rPr>
          <w:b/>
        </w:rPr>
        <w:br/>
      </w:r>
      <w:r>
        <w:t>Introduction des règles 2.100 (pas de déclaration d’espace de nommage inutiles) et 2.101 (pas d’attributs id inutiles et valeurs de ces attributs courtes)</w:t>
      </w:r>
      <w:r w:rsidR="00FF1BB3">
        <w:t>.</w:t>
      </w:r>
    </w:p>
    <w:p w14:paraId="1DA05911" w14:textId="515E99C4" w:rsidR="0049519E" w:rsidRDefault="0049519E" w:rsidP="00E83C8D">
      <w:pPr>
        <w:pStyle w:val="Titre1"/>
        <w:jc w:val="left"/>
        <w:rPr>
          <w:rFonts w:ascii="Calibri" w:hAnsi="Calibri" w:cs="Times New Roman"/>
          <w:b w:val="0"/>
          <w:bCs w:val="0"/>
          <w:kern w:val="0"/>
          <w:sz w:val="24"/>
          <w:szCs w:val="24"/>
        </w:rPr>
      </w:pPr>
      <w:bookmarkStart w:id="7" w:name="_Toc446682856"/>
      <w:r w:rsidRPr="00C432AF">
        <w:rPr>
          <w:rFonts w:ascii="Calibri" w:hAnsi="Calibri" w:cs="Times New Roman"/>
          <w:bCs w:val="0"/>
          <w:kern w:val="0"/>
          <w:sz w:val="24"/>
          <w:szCs w:val="24"/>
        </w:rPr>
        <w:t xml:space="preserve">Révision 1.0.3 – </w:t>
      </w:r>
      <w:r w:rsidR="00062602" w:rsidRPr="00C432AF">
        <w:rPr>
          <w:rFonts w:ascii="Calibri" w:hAnsi="Calibri" w:cs="Times New Roman"/>
          <w:bCs w:val="0"/>
          <w:kern w:val="0"/>
          <w:sz w:val="24"/>
          <w:szCs w:val="24"/>
        </w:rPr>
        <w:t>09</w:t>
      </w:r>
      <w:r w:rsidRPr="00C432AF">
        <w:rPr>
          <w:rFonts w:ascii="Calibri" w:hAnsi="Calibri" w:cs="Times New Roman"/>
          <w:bCs w:val="0"/>
          <w:kern w:val="0"/>
          <w:sz w:val="24"/>
          <w:szCs w:val="24"/>
        </w:rPr>
        <w:t>/01/2015</w:t>
      </w:r>
      <w:r w:rsidR="000D1587" w:rsidRPr="00C432AF">
        <w:rPr>
          <w:rFonts w:ascii="Calibri" w:hAnsi="Calibri" w:cs="Times New Roman"/>
          <w:bCs w:val="0"/>
          <w:kern w:val="0"/>
          <w:sz w:val="24"/>
          <w:szCs w:val="24"/>
        </w:rPr>
        <w:t xml:space="preserve"> (interne</w:t>
      </w:r>
      <w:proofErr w:type="gramStart"/>
      <w:r w:rsidR="000D1587" w:rsidRPr="00C432AF">
        <w:rPr>
          <w:rFonts w:ascii="Calibri" w:hAnsi="Calibri" w:cs="Times New Roman"/>
          <w:bCs w:val="0"/>
          <w:kern w:val="0"/>
          <w:sz w:val="24"/>
          <w:szCs w:val="24"/>
        </w:rPr>
        <w:t>)</w:t>
      </w:r>
      <w:proofErr w:type="gramEnd"/>
      <w:r w:rsidRPr="00C432AF">
        <w:rPr>
          <w:rFonts w:ascii="Calibri" w:hAnsi="Calibri" w:cs="Times New Roman"/>
          <w:bCs w:val="0"/>
          <w:kern w:val="0"/>
          <w:sz w:val="24"/>
          <w:szCs w:val="24"/>
        </w:rPr>
        <w:br/>
      </w:r>
      <w:r w:rsidR="00FB2358" w:rsidRPr="00FB2358">
        <w:rPr>
          <w:rFonts w:ascii="Calibri" w:hAnsi="Calibri" w:cs="Times New Roman"/>
          <w:b w:val="0"/>
          <w:bCs w:val="0"/>
          <w:kern w:val="0"/>
          <w:sz w:val="24"/>
          <w:szCs w:val="24"/>
        </w:rPr>
        <w:t xml:space="preserve">Introduction de </w:t>
      </w:r>
      <w:r>
        <w:rPr>
          <w:rFonts w:ascii="Calibri" w:hAnsi="Calibri" w:cs="Times New Roman"/>
          <w:b w:val="0"/>
          <w:bCs w:val="0"/>
          <w:kern w:val="0"/>
          <w:sz w:val="24"/>
          <w:szCs w:val="24"/>
        </w:rPr>
        <w:t xml:space="preserve">la règle </w:t>
      </w:r>
      <w:r w:rsidR="00FB2358">
        <w:rPr>
          <w:rFonts w:ascii="Calibri" w:hAnsi="Calibri" w:cs="Times New Roman"/>
          <w:b w:val="0"/>
          <w:bCs w:val="0"/>
          <w:kern w:val="0"/>
          <w:sz w:val="24"/>
          <w:szCs w:val="24"/>
        </w:rPr>
        <w:t>2.102 (un seul préfixe par espace de nommage)</w:t>
      </w:r>
      <w:r w:rsidR="00FF1BB3">
        <w:rPr>
          <w:rFonts w:ascii="Calibri" w:hAnsi="Calibri" w:cs="Times New Roman"/>
          <w:b w:val="0"/>
          <w:bCs w:val="0"/>
          <w:kern w:val="0"/>
          <w:sz w:val="24"/>
          <w:szCs w:val="24"/>
        </w:rPr>
        <w:t>.</w:t>
      </w:r>
      <w:bookmarkEnd w:id="7"/>
    </w:p>
    <w:p w14:paraId="1DA05912" w14:textId="77777777" w:rsidR="00FF1BB3" w:rsidRDefault="00FB2358" w:rsidP="00E83C8D">
      <w:r>
        <w:t xml:space="preserve">Précision dans la </w:t>
      </w:r>
      <w:r w:rsidR="0049519E">
        <w:t xml:space="preserve">règle </w:t>
      </w:r>
      <w:r w:rsidR="00FF1BB3">
        <w:t xml:space="preserve">2.19, demandant de porter </w:t>
      </w:r>
      <w:r w:rsidR="002129A1">
        <w:t xml:space="preserve">spécialement </w:t>
      </w:r>
      <w:r w:rsidR="00FF1BB3">
        <w:t>attention aux données associées à un contrôle incluant une division.</w:t>
      </w:r>
    </w:p>
    <w:p w14:paraId="4814D5A4" w14:textId="66B8133A" w:rsidR="000D1587" w:rsidRDefault="000D1587" w:rsidP="00E83C8D">
      <w:pPr>
        <w:pStyle w:val="Titre1"/>
        <w:jc w:val="left"/>
        <w:rPr>
          <w:rFonts w:ascii="Calibri" w:hAnsi="Calibri" w:cs="Times New Roman"/>
          <w:b w:val="0"/>
          <w:bCs w:val="0"/>
          <w:kern w:val="0"/>
          <w:sz w:val="24"/>
          <w:szCs w:val="24"/>
        </w:rPr>
      </w:pPr>
      <w:bookmarkStart w:id="8" w:name="_Toc446682857"/>
      <w:r w:rsidRPr="00C432AF">
        <w:rPr>
          <w:rFonts w:asciiTheme="minorHAnsi" w:hAnsiTheme="minorHAnsi" w:cstheme="minorHAnsi"/>
          <w:sz w:val="24"/>
          <w:szCs w:val="24"/>
        </w:rPr>
        <w:t>Révision 1.0.4 – 21/01/2015</w:t>
      </w:r>
      <w:r w:rsidRPr="00C432AF">
        <w:rPr>
          <w:rFonts w:asciiTheme="minorHAnsi" w:hAnsiTheme="minorHAnsi" w:cstheme="minorHAnsi"/>
          <w:sz w:val="24"/>
          <w:szCs w:val="24"/>
        </w:rPr>
        <w:br/>
      </w:r>
      <w:r>
        <w:rPr>
          <w:rFonts w:ascii="Calibri" w:hAnsi="Calibri" w:cs="Times New Roman"/>
          <w:b w:val="0"/>
          <w:bCs w:val="0"/>
          <w:kern w:val="0"/>
          <w:sz w:val="24"/>
          <w:szCs w:val="24"/>
        </w:rPr>
        <w:t>Changement de la règle 1.7.1 (a</w:t>
      </w:r>
      <w:r w:rsidRPr="00ED7DCF">
        <w:rPr>
          <w:rFonts w:ascii="Calibri" w:hAnsi="Calibri" w:cs="Times New Roman"/>
          <w:b w:val="0"/>
          <w:bCs w:val="0"/>
          <w:kern w:val="0"/>
          <w:sz w:val="24"/>
          <w:szCs w:val="24"/>
        </w:rPr>
        <w:t xml:space="preserve">ucun fait au titre d’unités de remise non rapportées) </w:t>
      </w:r>
      <w:r>
        <w:rPr>
          <w:rFonts w:ascii="Calibri" w:hAnsi="Calibri" w:cs="Times New Roman"/>
          <w:b w:val="0"/>
          <w:bCs w:val="0"/>
          <w:kern w:val="0"/>
          <w:sz w:val="24"/>
          <w:szCs w:val="24"/>
        </w:rPr>
        <w:t xml:space="preserve">qui devient obligatoire, comme les règles EFR utilisées par la BCE et </w:t>
      </w:r>
      <w:r w:rsidR="0061295B">
        <w:rPr>
          <w:rFonts w:ascii="Calibri" w:hAnsi="Calibri" w:cs="Times New Roman"/>
          <w:b w:val="0"/>
          <w:bCs w:val="0"/>
          <w:kern w:val="0"/>
          <w:sz w:val="24"/>
          <w:szCs w:val="24"/>
        </w:rPr>
        <w:t>l’ABE</w:t>
      </w:r>
      <w:r>
        <w:rPr>
          <w:rFonts w:ascii="Calibri" w:hAnsi="Calibri" w:cs="Times New Roman"/>
          <w:b w:val="0"/>
          <w:bCs w:val="0"/>
          <w:kern w:val="0"/>
          <w:sz w:val="24"/>
          <w:szCs w:val="24"/>
        </w:rPr>
        <w:t>.</w:t>
      </w:r>
      <w:bookmarkEnd w:id="8"/>
    </w:p>
    <w:p w14:paraId="6254DD67" w14:textId="02B09FEB" w:rsidR="000D1587" w:rsidRPr="00B1266B" w:rsidRDefault="000D1587" w:rsidP="00E83C8D">
      <w:r>
        <w:t xml:space="preserve">Introduction de la règle </w:t>
      </w:r>
      <w:r w:rsidR="002C707B">
        <w:t>F.</w:t>
      </w:r>
      <w:r>
        <w:t>2.7 (pas de contexte dupliqué), spécifique ACPR / Banque de France</w:t>
      </w:r>
    </w:p>
    <w:p w14:paraId="6CD74A57" w14:textId="0472DCF6" w:rsidR="006639CB" w:rsidRDefault="006639CB" w:rsidP="00E83C8D">
      <w:pPr>
        <w:pStyle w:val="Titre1"/>
        <w:jc w:val="left"/>
        <w:rPr>
          <w:rFonts w:ascii="Calibri" w:hAnsi="Calibri" w:cs="Times New Roman"/>
          <w:b w:val="0"/>
          <w:bCs w:val="0"/>
          <w:kern w:val="0"/>
          <w:sz w:val="24"/>
          <w:szCs w:val="24"/>
        </w:rPr>
      </w:pPr>
      <w:bookmarkStart w:id="9" w:name="_Toc446682858"/>
      <w:r w:rsidRPr="00C432AF">
        <w:rPr>
          <w:rFonts w:asciiTheme="minorHAnsi" w:hAnsiTheme="minorHAnsi" w:cstheme="minorHAnsi"/>
          <w:sz w:val="24"/>
          <w:szCs w:val="24"/>
        </w:rPr>
        <w:t>Révision 1.0.5</w:t>
      </w:r>
      <w:r w:rsidR="00A87D76" w:rsidRPr="00C432AF">
        <w:rPr>
          <w:rFonts w:asciiTheme="minorHAnsi" w:hAnsiTheme="minorHAnsi" w:cstheme="minorHAnsi"/>
          <w:sz w:val="24"/>
          <w:szCs w:val="24"/>
        </w:rPr>
        <w:t xml:space="preserve"> </w:t>
      </w:r>
      <w:r w:rsidR="000B2064">
        <w:rPr>
          <w:rFonts w:asciiTheme="minorHAnsi" w:hAnsiTheme="minorHAnsi" w:cstheme="minorHAnsi"/>
          <w:sz w:val="24"/>
          <w:szCs w:val="24"/>
        </w:rPr>
        <w:t>– 11</w:t>
      </w:r>
      <w:r w:rsidRPr="00C432AF">
        <w:rPr>
          <w:rFonts w:asciiTheme="minorHAnsi" w:hAnsiTheme="minorHAnsi" w:cstheme="minorHAnsi"/>
          <w:sz w:val="24"/>
          <w:szCs w:val="24"/>
        </w:rPr>
        <w:t>/0</w:t>
      </w:r>
      <w:r w:rsidR="00E60022">
        <w:rPr>
          <w:rFonts w:asciiTheme="minorHAnsi" w:hAnsiTheme="minorHAnsi" w:cstheme="minorHAnsi"/>
          <w:sz w:val="24"/>
          <w:szCs w:val="24"/>
        </w:rPr>
        <w:t>4</w:t>
      </w:r>
      <w:r w:rsidRPr="00C432AF">
        <w:rPr>
          <w:rFonts w:asciiTheme="minorHAnsi" w:hAnsiTheme="minorHAnsi" w:cstheme="minorHAnsi"/>
          <w:sz w:val="24"/>
          <w:szCs w:val="24"/>
        </w:rPr>
        <w:t>/201</w:t>
      </w:r>
      <w:r w:rsidR="00606413" w:rsidRPr="00C432AF">
        <w:rPr>
          <w:rFonts w:asciiTheme="minorHAnsi" w:hAnsiTheme="minorHAnsi" w:cstheme="minorHAnsi"/>
          <w:sz w:val="24"/>
          <w:szCs w:val="24"/>
        </w:rPr>
        <w:t>6</w:t>
      </w:r>
      <w:r w:rsidRPr="00C432AF">
        <w:rPr>
          <w:rFonts w:asciiTheme="minorHAnsi" w:hAnsiTheme="minorHAnsi" w:cstheme="minorHAnsi"/>
          <w:sz w:val="24"/>
          <w:szCs w:val="24"/>
        </w:rPr>
        <w:br/>
      </w:r>
      <w:r w:rsidR="00606413">
        <w:rPr>
          <w:rFonts w:ascii="Calibri" w:hAnsi="Calibri" w:cs="Times New Roman"/>
          <w:b w:val="0"/>
          <w:bCs w:val="0"/>
          <w:kern w:val="0"/>
          <w:sz w:val="24"/>
          <w:szCs w:val="24"/>
        </w:rPr>
        <w:t>Refonte du document pour se limiter aux règles communes à toutes les remises collectées par l’ACPR / Banque de France</w:t>
      </w:r>
      <w:r w:rsidR="00A87D76">
        <w:rPr>
          <w:rFonts w:ascii="Calibri" w:hAnsi="Calibri" w:cs="Times New Roman"/>
          <w:b w:val="0"/>
          <w:bCs w:val="0"/>
          <w:kern w:val="0"/>
          <w:sz w:val="24"/>
          <w:szCs w:val="24"/>
        </w:rPr>
        <w:t>. Références vers les documents à utiliser en fonction du type de remise :</w:t>
      </w:r>
      <w:bookmarkEnd w:id="9"/>
    </w:p>
    <w:p w14:paraId="2DD009F9" w14:textId="265DC5BB" w:rsidR="00A87D76" w:rsidRDefault="00A87D76" w:rsidP="00E83C8D">
      <w:pPr>
        <w:numPr>
          <w:ilvl w:val="0"/>
          <w:numId w:val="12"/>
        </w:numPr>
      </w:pPr>
      <w:r>
        <w:t>SURFI Banque ;</w:t>
      </w:r>
    </w:p>
    <w:p w14:paraId="315E1A01" w14:textId="2CEC09B9" w:rsidR="00A87D76" w:rsidRDefault="00A87D76" w:rsidP="00E83C8D">
      <w:pPr>
        <w:numPr>
          <w:ilvl w:val="0"/>
          <w:numId w:val="12"/>
        </w:numPr>
      </w:pPr>
      <w:r>
        <w:t>CRR / CRD IV ;</w:t>
      </w:r>
    </w:p>
    <w:p w14:paraId="02185C2D" w14:textId="22E31BBE" w:rsidR="00A87D76" w:rsidRDefault="00A87D76" w:rsidP="00E83C8D">
      <w:pPr>
        <w:numPr>
          <w:ilvl w:val="0"/>
          <w:numId w:val="12"/>
        </w:numPr>
      </w:pPr>
      <w:r>
        <w:t>Solvabilité II</w:t>
      </w:r>
      <w:r w:rsidR="00996ED5">
        <w:t xml:space="preserve"> et RAN (États Nationaux Spécifiques)</w:t>
      </w:r>
      <w:r>
        <w:t> ;</w:t>
      </w:r>
    </w:p>
    <w:p w14:paraId="6E3F2F77" w14:textId="5C8F3F8B" w:rsidR="00E60022" w:rsidRDefault="00A87D76" w:rsidP="00E60022">
      <w:pPr>
        <w:numPr>
          <w:ilvl w:val="0"/>
          <w:numId w:val="12"/>
        </w:numPr>
      </w:pPr>
      <w:r>
        <w:t>SURFI Blanchiment Assurance.</w:t>
      </w:r>
    </w:p>
    <w:p w14:paraId="3E56C9F2" w14:textId="2FE28E4B" w:rsidR="0061295B" w:rsidRDefault="0061295B" w:rsidP="00E60022">
      <w:r>
        <w:t>La règle F.3.1.a (monnaie de remise) a été complétée.</w:t>
      </w:r>
    </w:p>
    <w:p w14:paraId="21B0E3AB" w14:textId="712C2500" w:rsidR="0061295B" w:rsidRDefault="0061295B" w:rsidP="00E60022">
      <w:r>
        <w:t>La règle F.3.1.b (monnaie d’origine) a été complétée pour indiquer que tous les montants des remises Solvabilité II devaient être exprimés en monnaie de remise (euro).</w:t>
      </w:r>
    </w:p>
    <w:p w14:paraId="500F81BB" w14:textId="750D1083" w:rsidR="00CD19B6" w:rsidRDefault="00CD19B6" w:rsidP="00CD19B6">
      <w:r>
        <w:t xml:space="preserve">La règle </w:t>
      </w:r>
      <w:r w:rsidR="00336A09">
        <w:t xml:space="preserve">ACPR </w:t>
      </w:r>
      <w:r>
        <w:t xml:space="preserve">2.100 (pas de déclaration d’espaces de nommage inutiles) a été supprimée et la règle </w:t>
      </w:r>
      <w:r w:rsidR="00336A09">
        <w:t xml:space="preserve">ACPR </w:t>
      </w:r>
      <w:r>
        <w:t>2.102 (un seul préfixe par espace de nommage) a été modifiée pour donner la règle spécifique ACPR.3.5 : (une seule déclaration pour chaque espace de nommage, disponible dans l’élément racine de l’instance XBRL).</w:t>
      </w:r>
    </w:p>
    <w:p w14:paraId="39394DCE" w14:textId="420ADEC6" w:rsidR="00336A09" w:rsidRDefault="0061372C" w:rsidP="00CD19B6">
      <w:r>
        <w:t>Dans la règle ACPR.3.100, l</w:t>
      </w:r>
      <w:r w:rsidR="00336A09">
        <w:t>a taille maximale d’un fait est maintenant 4 000 caractères (500 précédemment).</w:t>
      </w:r>
    </w:p>
    <w:p w14:paraId="73B54775" w14:textId="77777777" w:rsidR="008623C4" w:rsidRDefault="008623C4" w:rsidP="008623C4">
      <w:pPr>
        <w:rPr>
          <w:rFonts w:asciiTheme="minorHAnsi" w:hAnsiTheme="minorHAnsi" w:cstheme="minorHAnsi"/>
          <w:b/>
        </w:rPr>
      </w:pPr>
      <w:r w:rsidRPr="00AD55BF">
        <w:rPr>
          <w:rFonts w:asciiTheme="minorHAnsi" w:hAnsiTheme="minorHAnsi" w:cstheme="minorHAnsi"/>
          <w:b/>
        </w:rPr>
        <w:t>Révision 1.0.6 – 21/04/2016</w:t>
      </w:r>
    </w:p>
    <w:p w14:paraId="7253A743" w14:textId="6370D450" w:rsidR="00AD55BF" w:rsidRPr="00AD55BF" w:rsidRDefault="008623C4" w:rsidP="008623C4">
      <w:r w:rsidRPr="00AD55BF">
        <w:rPr>
          <w:rFonts w:asciiTheme="minorHAnsi" w:hAnsiTheme="minorHAnsi" w:cstheme="minorHAnsi"/>
        </w:rPr>
        <w:t xml:space="preserve">Suppression de la règle ACPR F.2.7.b qui interdisait les contextes dupliqués, suite à une </w:t>
      </w:r>
      <w:r>
        <w:rPr>
          <w:rFonts w:asciiTheme="minorHAnsi" w:hAnsiTheme="minorHAnsi" w:cstheme="minorHAnsi"/>
        </w:rPr>
        <w:t>évolution</w:t>
      </w:r>
      <w:r w:rsidRPr="00AD55BF">
        <w:rPr>
          <w:rFonts w:asciiTheme="minorHAnsi" w:hAnsiTheme="minorHAnsi" w:cstheme="minorHAnsi"/>
        </w:rPr>
        <w:t xml:space="preserve"> du système applicatif SURFI</w:t>
      </w:r>
      <w:r>
        <w:rPr>
          <w:rFonts w:asciiTheme="minorHAnsi" w:hAnsiTheme="minorHAnsi" w:cstheme="minorHAnsi"/>
        </w:rPr>
        <w:t xml:space="preserve"> qui peut maintenant les traiter. Les règles </w:t>
      </w:r>
      <w:r>
        <w:rPr>
          <w:rFonts w:asciiTheme="minorHAnsi" w:hAnsiTheme="minorHAnsi" w:cstheme="minorHAnsi"/>
        </w:rPr>
        <w:t xml:space="preserve">indicatives </w:t>
      </w:r>
      <w:r>
        <w:t>ABE et AEAPP 2.7 s’appliquent maintenant.</w:t>
      </w:r>
      <w:r w:rsidRPr="00AD55BF">
        <w:rPr>
          <w:rFonts w:asciiTheme="minorHAnsi" w:hAnsiTheme="minorHAnsi" w:cstheme="minorHAnsi"/>
        </w:rPr>
        <w:br/>
      </w:r>
    </w:p>
    <w:p w14:paraId="0CCDD921" w14:textId="77777777" w:rsidR="00CD19B6" w:rsidRDefault="00CD19B6" w:rsidP="00E60022"/>
    <w:sectPr w:rsidR="00CD19B6" w:rsidSect="00DA2B05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EA381" w14:textId="77777777" w:rsidR="00B507CF" w:rsidRDefault="00B507CF">
      <w:r>
        <w:separator/>
      </w:r>
    </w:p>
  </w:endnote>
  <w:endnote w:type="continuationSeparator" w:id="0">
    <w:p w14:paraId="489DD959" w14:textId="77777777" w:rsidR="00B507CF" w:rsidRDefault="00B5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591D" w14:textId="77777777" w:rsidR="003571BE" w:rsidRDefault="003571BE" w:rsidP="002C728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A0591E" w14:textId="77777777" w:rsidR="003571BE" w:rsidRDefault="003571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591F" w14:textId="77777777" w:rsidR="003571BE" w:rsidRDefault="003571BE" w:rsidP="0007122E">
    <w:pPr>
      <w:pStyle w:val="Pieddepage"/>
      <w:framePr w:wrap="around" w:vAnchor="text" w:hAnchor="page" w:x="5836" w:y="4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A6EA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  <w:p w14:paraId="1DA05920" w14:textId="77777777" w:rsidR="003571BE" w:rsidRDefault="003571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9E36" w14:textId="77777777" w:rsidR="00B507CF" w:rsidRDefault="00B507CF">
      <w:r>
        <w:separator/>
      </w:r>
    </w:p>
  </w:footnote>
  <w:footnote w:type="continuationSeparator" w:id="0">
    <w:p w14:paraId="75D26E73" w14:textId="77777777" w:rsidR="00B507CF" w:rsidRDefault="00B507CF">
      <w:r>
        <w:continuationSeparator/>
      </w:r>
    </w:p>
  </w:footnote>
  <w:footnote w:id="1">
    <w:p w14:paraId="0A493066" w14:textId="6BCB293D" w:rsidR="003571BE" w:rsidRDefault="003571BE" w:rsidP="00510A05">
      <w:pPr>
        <w:pStyle w:val="Notedebasdepage"/>
        <w:ind w:left="360" w:hanging="360"/>
      </w:pPr>
      <w:r>
        <w:rPr>
          <w:rStyle w:val="Appelnotedebasdep"/>
        </w:rPr>
        <w:footnoteRef/>
      </w:r>
      <w:r>
        <w:t xml:space="preserve"> </w:t>
      </w:r>
      <w:r>
        <w:tab/>
        <w:t xml:space="preserve">Dans le futur, la spécification « Assertion </w:t>
      </w:r>
      <w:proofErr w:type="spellStart"/>
      <w:r>
        <w:t>severity</w:t>
      </w:r>
      <w:proofErr w:type="spellEnd"/>
      <w:r>
        <w:t> », en cours de ratification par XBRL International, pourra être utilisée pour définir un niveau de sévérité pour les assertions, permettant de caractériser certains contrôles comme non bloquants.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591A" w14:textId="77777777" w:rsidR="003571BE" w:rsidRDefault="003571BE" w:rsidP="002C728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A0591B" w14:textId="77777777" w:rsidR="003571BE" w:rsidRDefault="003571BE" w:rsidP="00A04D1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591C" w14:textId="77777777" w:rsidR="003571BE" w:rsidRDefault="003571BE" w:rsidP="0007122E">
    <w:pPr>
      <w:pStyle w:val="En-tte"/>
      <w:tabs>
        <w:tab w:val="clear" w:pos="9072"/>
      </w:tabs>
      <w:ind w:left="-630" w:right="-558"/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1DE"/>
    <w:multiLevelType w:val="hybridMultilevel"/>
    <w:tmpl w:val="556EF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5B7D"/>
    <w:multiLevelType w:val="hybridMultilevel"/>
    <w:tmpl w:val="50B8F2EA"/>
    <w:lvl w:ilvl="0" w:tplc="9CB2C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D49B5"/>
    <w:multiLevelType w:val="hybridMultilevel"/>
    <w:tmpl w:val="D6D08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2FC3"/>
    <w:multiLevelType w:val="hybridMultilevel"/>
    <w:tmpl w:val="1EF4F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D329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CF2E44"/>
    <w:multiLevelType w:val="hybridMultilevel"/>
    <w:tmpl w:val="5A4A3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1066C"/>
    <w:multiLevelType w:val="hybridMultilevel"/>
    <w:tmpl w:val="625E28EE"/>
    <w:lvl w:ilvl="0" w:tplc="68587776">
      <w:start w:val="1"/>
      <w:numFmt w:val="bullet"/>
      <w:lvlText w:val="-"/>
      <w:lvlJc w:val="left"/>
      <w:pPr>
        <w:ind w:left="16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A736A73"/>
    <w:multiLevelType w:val="hybridMultilevel"/>
    <w:tmpl w:val="D3004B18"/>
    <w:lvl w:ilvl="0" w:tplc="AD24F43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B176C"/>
    <w:multiLevelType w:val="hybridMultilevel"/>
    <w:tmpl w:val="9AE2389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0282D"/>
    <w:multiLevelType w:val="hybridMultilevel"/>
    <w:tmpl w:val="0F8C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844F3"/>
    <w:multiLevelType w:val="hybridMultilevel"/>
    <w:tmpl w:val="256CF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42D9"/>
    <w:multiLevelType w:val="hybridMultilevel"/>
    <w:tmpl w:val="6DAA7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157E0"/>
    <w:multiLevelType w:val="hybridMultilevel"/>
    <w:tmpl w:val="E34A21B8"/>
    <w:lvl w:ilvl="0" w:tplc="191CA56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2"/>
    <w:rsid w:val="0000132E"/>
    <w:rsid w:val="000025C2"/>
    <w:rsid w:val="00002E1C"/>
    <w:rsid w:val="00005DCC"/>
    <w:rsid w:val="00013CEE"/>
    <w:rsid w:val="00021188"/>
    <w:rsid w:val="00021FD7"/>
    <w:rsid w:val="0002730D"/>
    <w:rsid w:val="0002763A"/>
    <w:rsid w:val="0003606A"/>
    <w:rsid w:val="00036D74"/>
    <w:rsid w:val="000408C7"/>
    <w:rsid w:val="00041A4D"/>
    <w:rsid w:val="00046B9D"/>
    <w:rsid w:val="00055247"/>
    <w:rsid w:val="00061EF2"/>
    <w:rsid w:val="00062602"/>
    <w:rsid w:val="00062BF9"/>
    <w:rsid w:val="00070D26"/>
    <w:rsid w:val="0007122E"/>
    <w:rsid w:val="00071576"/>
    <w:rsid w:val="00074F22"/>
    <w:rsid w:val="000771F5"/>
    <w:rsid w:val="000825FB"/>
    <w:rsid w:val="00084A8E"/>
    <w:rsid w:val="00085782"/>
    <w:rsid w:val="00090195"/>
    <w:rsid w:val="0009172D"/>
    <w:rsid w:val="00093A7D"/>
    <w:rsid w:val="000958BC"/>
    <w:rsid w:val="00095ACE"/>
    <w:rsid w:val="000978E0"/>
    <w:rsid w:val="000A4000"/>
    <w:rsid w:val="000B2064"/>
    <w:rsid w:val="000B4816"/>
    <w:rsid w:val="000B6E7A"/>
    <w:rsid w:val="000C6D70"/>
    <w:rsid w:val="000C7E16"/>
    <w:rsid w:val="000D1587"/>
    <w:rsid w:val="000F0167"/>
    <w:rsid w:val="000F2ECE"/>
    <w:rsid w:val="00104504"/>
    <w:rsid w:val="00110A17"/>
    <w:rsid w:val="00114CD6"/>
    <w:rsid w:val="001240FC"/>
    <w:rsid w:val="001309CF"/>
    <w:rsid w:val="00135E2F"/>
    <w:rsid w:val="001437A0"/>
    <w:rsid w:val="0014398F"/>
    <w:rsid w:val="00143A6C"/>
    <w:rsid w:val="001509D7"/>
    <w:rsid w:val="0016245B"/>
    <w:rsid w:val="0016518B"/>
    <w:rsid w:val="0017001E"/>
    <w:rsid w:val="00170477"/>
    <w:rsid w:val="001721C7"/>
    <w:rsid w:val="00173520"/>
    <w:rsid w:val="0017773F"/>
    <w:rsid w:val="001872D6"/>
    <w:rsid w:val="00190AD7"/>
    <w:rsid w:val="001918EF"/>
    <w:rsid w:val="001A2839"/>
    <w:rsid w:val="001A385E"/>
    <w:rsid w:val="001B28F2"/>
    <w:rsid w:val="001B5E04"/>
    <w:rsid w:val="001C1358"/>
    <w:rsid w:val="001C29D2"/>
    <w:rsid w:val="001C3B96"/>
    <w:rsid w:val="001E5A71"/>
    <w:rsid w:val="001F0BE7"/>
    <w:rsid w:val="001F6E0A"/>
    <w:rsid w:val="002007A1"/>
    <w:rsid w:val="00202639"/>
    <w:rsid w:val="002058B2"/>
    <w:rsid w:val="0021166A"/>
    <w:rsid w:val="002129A1"/>
    <w:rsid w:val="00214C1D"/>
    <w:rsid w:val="00215795"/>
    <w:rsid w:val="00215F4E"/>
    <w:rsid w:val="00216242"/>
    <w:rsid w:val="0022015F"/>
    <w:rsid w:val="00232A68"/>
    <w:rsid w:val="00237AF1"/>
    <w:rsid w:val="00250133"/>
    <w:rsid w:val="00266EBC"/>
    <w:rsid w:val="002742A3"/>
    <w:rsid w:val="0028415A"/>
    <w:rsid w:val="00294EF1"/>
    <w:rsid w:val="002A206D"/>
    <w:rsid w:val="002B3BB6"/>
    <w:rsid w:val="002C2195"/>
    <w:rsid w:val="002C2FDD"/>
    <w:rsid w:val="002C4B97"/>
    <w:rsid w:val="002C707B"/>
    <w:rsid w:val="002C7282"/>
    <w:rsid w:val="002C78DB"/>
    <w:rsid w:val="002D0F2B"/>
    <w:rsid w:val="002D38FF"/>
    <w:rsid w:val="002E6C99"/>
    <w:rsid w:val="002F07BF"/>
    <w:rsid w:val="002F28CA"/>
    <w:rsid w:val="003045A1"/>
    <w:rsid w:val="00310928"/>
    <w:rsid w:val="0031229B"/>
    <w:rsid w:val="003176D2"/>
    <w:rsid w:val="003326AE"/>
    <w:rsid w:val="0033409D"/>
    <w:rsid w:val="0033556B"/>
    <w:rsid w:val="00336A09"/>
    <w:rsid w:val="003403BF"/>
    <w:rsid w:val="00340B45"/>
    <w:rsid w:val="00341952"/>
    <w:rsid w:val="0034197A"/>
    <w:rsid w:val="003571BE"/>
    <w:rsid w:val="003611D8"/>
    <w:rsid w:val="00373967"/>
    <w:rsid w:val="00393693"/>
    <w:rsid w:val="003A579A"/>
    <w:rsid w:val="003A6DC6"/>
    <w:rsid w:val="003C26A7"/>
    <w:rsid w:val="003C5F99"/>
    <w:rsid w:val="003C7691"/>
    <w:rsid w:val="003D0D5C"/>
    <w:rsid w:val="003D38D2"/>
    <w:rsid w:val="003D68C8"/>
    <w:rsid w:val="003E22DC"/>
    <w:rsid w:val="00400819"/>
    <w:rsid w:val="004109AC"/>
    <w:rsid w:val="00425CD6"/>
    <w:rsid w:val="0043717C"/>
    <w:rsid w:val="004411D5"/>
    <w:rsid w:val="00441B23"/>
    <w:rsid w:val="004636CC"/>
    <w:rsid w:val="004640EB"/>
    <w:rsid w:val="0046687B"/>
    <w:rsid w:val="00470490"/>
    <w:rsid w:val="00472726"/>
    <w:rsid w:val="004755DF"/>
    <w:rsid w:val="00481A21"/>
    <w:rsid w:val="00483E7F"/>
    <w:rsid w:val="00486C42"/>
    <w:rsid w:val="004877E2"/>
    <w:rsid w:val="0049259F"/>
    <w:rsid w:val="00492B99"/>
    <w:rsid w:val="004937D9"/>
    <w:rsid w:val="00493EF5"/>
    <w:rsid w:val="0049519E"/>
    <w:rsid w:val="004973F4"/>
    <w:rsid w:val="004B3964"/>
    <w:rsid w:val="004E3FCE"/>
    <w:rsid w:val="004E5175"/>
    <w:rsid w:val="004E5A7D"/>
    <w:rsid w:val="004F0D90"/>
    <w:rsid w:val="004F20B1"/>
    <w:rsid w:val="004F724B"/>
    <w:rsid w:val="004F7D4D"/>
    <w:rsid w:val="005000CD"/>
    <w:rsid w:val="00503E1E"/>
    <w:rsid w:val="0050536F"/>
    <w:rsid w:val="00510A05"/>
    <w:rsid w:val="00513369"/>
    <w:rsid w:val="00523F68"/>
    <w:rsid w:val="005240C9"/>
    <w:rsid w:val="00537696"/>
    <w:rsid w:val="005507B4"/>
    <w:rsid w:val="00554FDF"/>
    <w:rsid w:val="0058346D"/>
    <w:rsid w:val="0059525C"/>
    <w:rsid w:val="00597C71"/>
    <w:rsid w:val="005A2C80"/>
    <w:rsid w:val="005B1007"/>
    <w:rsid w:val="005B5000"/>
    <w:rsid w:val="005C3B49"/>
    <w:rsid w:val="005C6995"/>
    <w:rsid w:val="005D3C05"/>
    <w:rsid w:val="005E11A2"/>
    <w:rsid w:val="005E4B45"/>
    <w:rsid w:val="0060566D"/>
    <w:rsid w:val="00606413"/>
    <w:rsid w:val="00607186"/>
    <w:rsid w:val="006123FE"/>
    <w:rsid w:val="0061295B"/>
    <w:rsid w:val="0061372C"/>
    <w:rsid w:val="006165E3"/>
    <w:rsid w:val="006169F7"/>
    <w:rsid w:val="006229FC"/>
    <w:rsid w:val="00624AD5"/>
    <w:rsid w:val="00637752"/>
    <w:rsid w:val="00641C94"/>
    <w:rsid w:val="00652475"/>
    <w:rsid w:val="00661437"/>
    <w:rsid w:val="006639CB"/>
    <w:rsid w:val="0067241C"/>
    <w:rsid w:val="00683ACE"/>
    <w:rsid w:val="006930AE"/>
    <w:rsid w:val="00695EB6"/>
    <w:rsid w:val="006B07B3"/>
    <w:rsid w:val="006B5309"/>
    <w:rsid w:val="006C0643"/>
    <w:rsid w:val="006C0DD0"/>
    <w:rsid w:val="006E20CD"/>
    <w:rsid w:val="006F206D"/>
    <w:rsid w:val="006F2611"/>
    <w:rsid w:val="006F7CF6"/>
    <w:rsid w:val="007050E6"/>
    <w:rsid w:val="00711CE2"/>
    <w:rsid w:val="00713EF5"/>
    <w:rsid w:val="007169FF"/>
    <w:rsid w:val="00737BAB"/>
    <w:rsid w:val="007420DF"/>
    <w:rsid w:val="007439C5"/>
    <w:rsid w:val="007444BC"/>
    <w:rsid w:val="00754DD1"/>
    <w:rsid w:val="00757206"/>
    <w:rsid w:val="00765C11"/>
    <w:rsid w:val="00766CCA"/>
    <w:rsid w:val="00777CC0"/>
    <w:rsid w:val="0078079B"/>
    <w:rsid w:val="00783BD4"/>
    <w:rsid w:val="0078526B"/>
    <w:rsid w:val="00791707"/>
    <w:rsid w:val="00796BEC"/>
    <w:rsid w:val="007A76D2"/>
    <w:rsid w:val="007B1DB7"/>
    <w:rsid w:val="007B3268"/>
    <w:rsid w:val="007B7EC3"/>
    <w:rsid w:val="007C397A"/>
    <w:rsid w:val="007C6A6D"/>
    <w:rsid w:val="007D15B4"/>
    <w:rsid w:val="007D6760"/>
    <w:rsid w:val="007E56A3"/>
    <w:rsid w:val="007E6077"/>
    <w:rsid w:val="007F6701"/>
    <w:rsid w:val="008127EA"/>
    <w:rsid w:val="00812C1E"/>
    <w:rsid w:val="00815330"/>
    <w:rsid w:val="0082664B"/>
    <w:rsid w:val="008420EC"/>
    <w:rsid w:val="008465A9"/>
    <w:rsid w:val="00847ED2"/>
    <w:rsid w:val="00853F68"/>
    <w:rsid w:val="00855F0A"/>
    <w:rsid w:val="008623C4"/>
    <w:rsid w:val="00874FAC"/>
    <w:rsid w:val="00880284"/>
    <w:rsid w:val="00886092"/>
    <w:rsid w:val="0088659F"/>
    <w:rsid w:val="00891FD2"/>
    <w:rsid w:val="00893A0A"/>
    <w:rsid w:val="00894AD0"/>
    <w:rsid w:val="008952A5"/>
    <w:rsid w:val="008A004C"/>
    <w:rsid w:val="008A1B80"/>
    <w:rsid w:val="008A340C"/>
    <w:rsid w:val="008B2351"/>
    <w:rsid w:val="008C2151"/>
    <w:rsid w:val="008C4FF1"/>
    <w:rsid w:val="008C789F"/>
    <w:rsid w:val="008D1D84"/>
    <w:rsid w:val="008D49B2"/>
    <w:rsid w:val="008D706E"/>
    <w:rsid w:val="008F0F2E"/>
    <w:rsid w:val="008F3EC2"/>
    <w:rsid w:val="008F3F9C"/>
    <w:rsid w:val="009134AF"/>
    <w:rsid w:val="00914A5D"/>
    <w:rsid w:val="00922084"/>
    <w:rsid w:val="00922A35"/>
    <w:rsid w:val="00931CB6"/>
    <w:rsid w:val="0094120D"/>
    <w:rsid w:val="0095063F"/>
    <w:rsid w:val="009545E8"/>
    <w:rsid w:val="00961EAA"/>
    <w:rsid w:val="0096758B"/>
    <w:rsid w:val="00967851"/>
    <w:rsid w:val="0097089E"/>
    <w:rsid w:val="00970F8D"/>
    <w:rsid w:val="00981F56"/>
    <w:rsid w:val="00996ED5"/>
    <w:rsid w:val="009B339C"/>
    <w:rsid w:val="009B74E8"/>
    <w:rsid w:val="009B7970"/>
    <w:rsid w:val="009C304C"/>
    <w:rsid w:val="009C6825"/>
    <w:rsid w:val="009E5B6D"/>
    <w:rsid w:val="009F5428"/>
    <w:rsid w:val="009F7AD6"/>
    <w:rsid w:val="00A04D1D"/>
    <w:rsid w:val="00A04F27"/>
    <w:rsid w:val="00A16E3C"/>
    <w:rsid w:val="00A3190B"/>
    <w:rsid w:val="00A459E8"/>
    <w:rsid w:val="00A46350"/>
    <w:rsid w:val="00A47F7D"/>
    <w:rsid w:val="00A54988"/>
    <w:rsid w:val="00A632CC"/>
    <w:rsid w:val="00A63B9D"/>
    <w:rsid w:val="00A66193"/>
    <w:rsid w:val="00A704E5"/>
    <w:rsid w:val="00A71F58"/>
    <w:rsid w:val="00A76402"/>
    <w:rsid w:val="00A87D76"/>
    <w:rsid w:val="00A928FA"/>
    <w:rsid w:val="00A968B6"/>
    <w:rsid w:val="00AA1F76"/>
    <w:rsid w:val="00AA4819"/>
    <w:rsid w:val="00AA61B5"/>
    <w:rsid w:val="00AB1AA9"/>
    <w:rsid w:val="00AB3656"/>
    <w:rsid w:val="00AD28F6"/>
    <w:rsid w:val="00AD55BF"/>
    <w:rsid w:val="00AE2DB0"/>
    <w:rsid w:val="00AE4AC9"/>
    <w:rsid w:val="00AF21FA"/>
    <w:rsid w:val="00AF247B"/>
    <w:rsid w:val="00AF2EB7"/>
    <w:rsid w:val="00B024C6"/>
    <w:rsid w:val="00B0463B"/>
    <w:rsid w:val="00B10905"/>
    <w:rsid w:val="00B1266B"/>
    <w:rsid w:val="00B14812"/>
    <w:rsid w:val="00B16B50"/>
    <w:rsid w:val="00B2478A"/>
    <w:rsid w:val="00B24CA4"/>
    <w:rsid w:val="00B45E16"/>
    <w:rsid w:val="00B47F89"/>
    <w:rsid w:val="00B507CF"/>
    <w:rsid w:val="00B57DAC"/>
    <w:rsid w:val="00B803E5"/>
    <w:rsid w:val="00B81478"/>
    <w:rsid w:val="00B816C0"/>
    <w:rsid w:val="00BA4CD7"/>
    <w:rsid w:val="00BB4B42"/>
    <w:rsid w:val="00BC1B66"/>
    <w:rsid w:val="00BD0831"/>
    <w:rsid w:val="00BD1969"/>
    <w:rsid w:val="00BE5383"/>
    <w:rsid w:val="00BF3D94"/>
    <w:rsid w:val="00BF5AE3"/>
    <w:rsid w:val="00C00B4D"/>
    <w:rsid w:val="00C02EE7"/>
    <w:rsid w:val="00C056C4"/>
    <w:rsid w:val="00C07D78"/>
    <w:rsid w:val="00C11EFE"/>
    <w:rsid w:val="00C16115"/>
    <w:rsid w:val="00C278C9"/>
    <w:rsid w:val="00C329DB"/>
    <w:rsid w:val="00C42465"/>
    <w:rsid w:val="00C424EF"/>
    <w:rsid w:val="00C432AF"/>
    <w:rsid w:val="00C43A2A"/>
    <w:rsid w:val="00C52214"/>
    <w:rsid w:val="00C53CF3"/>
    <w:rsid w:val="00C57C6D"/>
    <w:rsid w:val="00C633A7"/>
    <w:rsid w:val="00C7515A"/>
    <w:rsid w:val="00C81840"/>
    <w:rsid w:val="00C93EFB"/>
    <w:rsid w:val="00C95975"/>
    <w:rsid w:val="00CA3674"/>
    <w:rsid w:val="00CA52D6"/>
    <w:rsid w:val="00CB095D"/>
    <w:rsid w:val="00CB23F6"/>
    <w:rsid w:val="00CB58A5"/>
    <w:rsid w:val="00CC1689"/>
    <w:rsid w:val="00CC4292"/>
    <w:rsid w:val="00CD19B6"/>
    <w:rsid w:val="00CD49B6"/>
    <w:rsid w:val="00CE049F"/>
    <w:rsid w:val="00CF4973"/>
    <w:rsid w:val="00D00477"/>
    <w:rsid w:val="00D0576F"/>
    <w:rsid w:val="00D13223"/>
    <w:rsid w:val="00D17D5E"/>
    <w:rsid w:val="00D32F30"/>
    <w:rsid w:val="00D41E69"/>
    <w:rsid w:val="00D547ED"/>
    <w:rsid w:val="00D6105C"/>
    <w:rsid w:val="00D612F7"/>
    <w:rsid w:val="00D72B44"/>
    <w:rsid w:val="00D76367"/>
    <w:rsid w:val="00D855F4"/>
    <w:rsid w:val="00D858CF"/>
    <w:rsid w:val="00D92816"/>
    <w:rsid w:val="00D93798"/>
    <w:rsid w:val="00D94A9B"/>
    <w:rsid w:val="00DA2B05"/>
    <w:rsid w:val="00DA4C19"/>
    <w:rsid w:val="00DA5DB8"/>
    <w:rsid w:val="00DA6EA4"/>
    <w:rsid w:val="00DC39C0"/>
    <w:rsid w:val="00DC5C32"/>
    <w:rsid w:val="00DC6713"/>
    <w:rsid w:val="00DC75DB"/>
    <w:rsid w:val="00DD227D"/>
    <w:rsid w:val="00DD2C24"/>
    <w:rsid w:val="00DE5A96"/>
    <w:rsid w:val="00E2569E"/>
    <w:rsid w:val="00E3429E"/>
    <w:rsid w:val="00E4048C"/>
    <w:rsid w:val="00E409B9"/>
    <w:rsid w:val="00E60022"/>
    <w:rsid w:val="00E622AC"/>
    <w:rsid w:val="00E629ED"/>
    <w:rsid w:val="00E70A4F"/>
    <w:rsid w:val="00E766BA"/>
    <w:rsid w:val="00E83C8D"/>
    <w:rsid w:val="00E90297"/>
    <w:rsid w:val="00E92A8C"/>
    <w:rsid w:val="00EA2940"/>
    <w:rsid w:val="00EC6EB3"/>
    <w:rsid w:val="00EC751D"/>
    <w:rsid w:val="00EE0879"/>
    <w:rsid w:val="00EE1A32"/>
    <w:rsid w:val="00EE6AC1"/>
    <w:rsid w:val="00F062E3"/>
    <w:rsid w:val="00F10D4B"/>
    <w:rsid w:val="00F11978"/>
    <w:rsid w:val="00F300DC"/>
    <w:rsid w:val="00F32B6E"/>
    <w:rsid w:val="00F93E30"/>
    <w:rsid w:val="00F9615D"/>
    <w:rsid w:val="00FA10A7"/>
    <w:rsid w:val="00FB2358"/>
    <w:rsid w:val="00FB316C"/>
    <w:rsid w:val="00FE0D0E"/>
    <w:rsid w:val="00FE1ED1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05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EB6"/>
    <w:pPr>
      <w:spacing w:before="60" w:after="60"/>
    </w:pPr>
    <w:rPr>
      <w:rFonts w:ascii="Calibri" w:hAnsi="Calibri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E2569E"/>
    <w:pPr>
      <w:keepNext/>
      <w:spacing w:before="24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93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3190B"/>
    <w:rPr>
      <w:color w:val="0000FF"/>
      <w:u w:val="single"/>
    </w:rPr>
  </w:style>
  <w:style w:type="paragraph" w:styleId="Notedebasdepage">
    <w:name w:val="footnote text"/>
    <w:basedOn w:val="Normal"/>
    <w:semiHidden/>
    <w:rsid w:val="00AA1F76"/>
    <w:rPr>
      <w:sz w:val="20"/>
      <w:szCs w:val="20"/>
    </w:rPr>
  </w:style>
  <w:style w:type="character" w:styleId="Appelnotedebasdep">
    <w:name w:val="footnote reference"/>
    <w:basedOn w:val="Policepardfaut"/>
    <w:semiHidden/>
    <w:rsid w:val="00AA1F76"/>
    <w:rPr>
      <w:vertAlign w:val="superscript"/>
    </w:rPr>
  </w:style>
  <w:style w:type="paragraph" w:styleId="En-tte">
    <w:name w:val="header"/>
    <w:basedOn w:val="Normal"/>
    <w:rsid w:val="00A04D1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D1D"/>
  </w:style>
  <w:style w:type="paragraph" w:styleId="Pieddepage">
    <w:name w:val="footer"/>
    <w:basedOn w:val="Normal"/>
    <w:rsid w:val="00A04D1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97C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Grilledutableau">
    <w:name w:val="Table Grid"/>
    <w:basedOn w:val="TableauNormal"/>
    <w:uiPriority w:val="99"/>
    <w:rsid w:val="008D4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1240FC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712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122E"/>
    <w:rPr>
      <w:rFonts w:ascii="Tahoma" w:hAnsi="Tahoma" w:cs="Tahoma"/>
      <w:sz w:val="16"/>
      <w:szCs w:val="16"/>
      <w:lang w:val="fr-FR" w:eastAsia="ja-JP"/>
    </w:rPr>
  </w:style>
  <w:style w:type="character" w:styleId="Marquedecommentaire">
    <w:name w:val="annotation reference"/>
    <w:basedOn w:val="Policepardfaut"/>
    <w:rsid w:val="005D3C05"/>
    <w:rPr>
      <w:sz w:val="16"/>
      <w:szCs w:val="16"/>
    </w:rPr>
  </w:style>
  <w:style w:type="paragraph" w:styleId="Commentaire">
    <w:name w:val="annotation text"/>
    <w:basedOn w:val="Normal"/>
    <w:link w:val="CommentaireCar"/>
    <w:rsid w:val="005D3C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3C05"/>
    <w:rPr>
      <w:rFonts w:ascii="Calibri" w:hAnsi="Calibri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D3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D3C05"/>
    <w:rPr>
      <w:rFonts w:ascii="Calibri" w:hAnsi="Calibri"/>
      <w:b/>
      <w:bCs/>
      <w:lang w:val="fr-FR" w:eastAsia="ja-JP"/>
    </w:rPr>
  </w:style>
  <w:style w:type="paragraph" w:styleId="TM1">
    <w:name w:val="toc 1"/>
    <w:basedOn w:val="Normal"/>
    <w:next w:val="Normal"/>
    <w:autoRedefine/>
    <w:uiPriority w:val="39"/>
    <w:rsid w:val="008F3EC2"/>
    <w:pPr>
      <w:tabs>
        <w:tab w:val="right" w:leader="dot" w:pos="9072"/>
      </w:tabs>
      <w:spacing w:before="240" w:after="120"/>
      <w:jc w:val="both"/>
    </w:pPr>
    <w:rPr>
      <w:rFonts w:ascii="Arial" w:eastAsia="Times New Roman" w:hAnsi="Arial"/>
      <w:b/>
      <w:bCs/>
      <w:color w:val="4F81BD"/>
      <w:sz w:val="22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4937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customStyle="1" w:styleId="defintion">
    <w:name w:val="defintion"/>
    <w:basedOn w:val="Normal"/>
    <w:link w:val="defintionChar"/>
    <w:qFormat/>
    <w:rsid w:val="004937D9"/>
    <w:pPr>
      <w:tabs>
        <w:tab w:val="left" w:pos="0"/>
      </w:tabs>
      <w:spacing w:before="0" w:after="0" w:line="300" w:lineRule="exact"/>
      <w:ind w:left="720"/>
      <w:jc w:val="both"/>
    </w:pPr>
    <w:rPr>
      <w:rFonts w:eastAsia="Times New Roman"/>
      <w:color w:val="000000"/>
      <w:sz w:val="20"/>
      <w:szCs w:val="20"/>
      <w:lang w:val="en-GB" w:eastAsia="en-US"/>
    </w:rPr>
  </w:style>
  <w:style w:type="character" w:customStyle="1" w:styleId="defintionChar">
    <w:name w:val="defintion Char"/>
    <w:basedOn w:val="Policepardfaut"/>
    <w:link w:val="defintion"/>
    <w:rsid w:val="004937D9"/>
    <w:rPr>
      <w:rFonts w:ascii="Calibri" w:eastAsia="Times New Roman" w:hAnsi="Calibri"/>
      <w:color w:val="000000"/>
      <w:lang w:val="en-GB" w:eastAsia="en-US"/>
    </w:rPr>
  </w:style>
  <w:style w:type="character" w:styleId="Emphaseple">
    <w:name w:val="Subtle Emphasis"/>
    <w:basedOn w:val="Policepardfaut"/>
    <w:uiPriority w:val="19"/>
    <w:qFormat/>
    <w:rsid w:val="00C432AF"/>
    <w:rPr>
      <w:rFonts w:asciiTheme="minorHAnsi" w:hAnsiTheme="minorHAnsi" w:cstheme="minorHAnsi"/>
      <w:iCs/>
      <w:color w:val="808080" w:themeColor="text1" w:themeTint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EB6"/>
    <w:pPr>
      <w:spacing w:before="60" w:after="60"/>
    </w:pPr>
    <w:rPr>
      <w:rFonts w:ascii="Calibri" w:hAnsi="Calibri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E2569E"/>
    <w:pPr>
      <w:keepNext/>
      <w:spacing w:before="24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93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3190B"/>
    <w:rPr>
      <w:color w:val="0000FF"/>
      <w:u w:val="single"/>
    </w:rPr>
  </w:style>
  <w:style w:type="paragraph" w:styleId="Notedebasdepage">
    <w:name w:val="footnote text"/>
    <w:basedOn w:val="Normal"/>
    <w:semiHidden/>
    <w:rsid w:val="00AA1F76"/>
    <w:rPr>
      <w:sz w:val="20"/>
      <w:szCs w:val="20"/>
    </w:rPr>
  </w:style>
  <w:style w:type="character" w:styleId="Appelnotedebasdep">
    <w:name w:val="footnote reference"/>
    <w:basedOn w:val="Policepardfaut"/>
    <w:semiHidden/>
    <w:rsid w:val="00AA1F76"/>
    <w:rPr>
      <w:vertAlign w:val="superscript"/>
    </w:rPr>
  </w:style>
  <w:style w:type="paragraph" w:styleId="En-tte">
    <w:name w:val="header"/>
    <w:basedOn w:val="Normal"/>
    <w:rsid w:val="00A04D1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D1D"/>
  </w:style>
  <w:style w:type="paragraph" w:styleId="Pieddepage">
    <w:name w:val="footer"/>
    <w:basedOn w:val="Normal"/>
    <w:rsid w:val="00A04D1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97C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Grilledutableau">
    <w:name w:val="Table Grid"/>
    <w:basedOn w:val="TableauNormal"/>
    <w:uiPriority w:val="99"/>
    <w:rsid w:val="008D4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1240FC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712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122E"/>
    <w:rPr>
      <w:rFonts w:ascii="Tahoma" w:hAnsi="Tahoma" w:cs="Tahoma"/>
      <w:sz w:val="16"/>
      <w:szCs w:val="16"/>
      <w:lang w:val="fr-FR" w:eastAsia="ja-JP"/>
    </w:rPr>
  </w:style>
  <w:style w:type="character" w:styleId="Marquedecommentaire">
    <w:name w:val="annotation reference"/>
    <w:basedOn w:val="Policepardfaut"/>
    <w:rsid w:val="005D3C05"/>
    <w:rPr>
      <w:sz w:val="16"/>
      <w:szCs w:val="16"/>
    </w:rPr>
  </w:style>
  <w:style w:type="paragraph" w:styleId="Commentaire">
    <w:name w:val="annotation text"/>
    <w:basedOn w:val="Normal"/>
    <w:link w:val="CommentaireCar"/>
    <w:rsid w:val="005D3C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3C05"/>
    <w:rPr>
      <w:rFonts w:ascii="Calibri" w:hAnsi="Calibri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D3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D3C05"/>
    <w:rPr>
      <w:rFonts w:ascii="Calibri" w:hAnsi="Calibri"/>
      <w:b/>
      <w:bCs/>
      <w:lang w:val="fr-FR" w:eastAsia="ja-JP"/>
    </w:rPr>
  </w:style>
  <w:style w:type="paragraph" w:styleId="TM1">
    <w:name w:val="toc 1"/>
    <w:basedOn w:val="Normal"/>
    <w:next w:val="Normal"/>
    <w:autoRedefine/>
    <w:uiPriority w:val="39"/>
    <w:rsid w:val="008F3EC2"/>
    <w:pPr>
      <w:tabs>
        <w:tab w:val="right" w:leader="dot" w:pos="9072"/>
      </w:tabs>
      <w:spacing w:before="240" w:after="120"/>
      <w:jc w:val="both"/>
    </w:pPr>
    <w:rPr>
      <w:rFonts w:ascii="Arial" w:eastAsia="Times New Roman" w:hAnsi="Arial"/>
      <w:b/>
      <w:bCs/>
      <w:color w:val="4F81BD"/>
      <w:sz w:val="22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4937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customStyle="1" w:styleId="defintion">
    <w:name w:val="defintion"/>
    <w:basedOn w:val="Normal"/>
    <w:link w:val="defintionChar"/>
    <w:qFormat/>
    <w:rsid w:val="004937D9"/>
    <w:pPr>
      <w:tabs>
        <w:tab w:val="left" w:pos="0"/>
      </w:tabs>
      <w:spacing w:before="0" w:after="0" w:line="300" w:lineRule="exact"/>
      <w:ind w:left="720"/>
      <w:jc w:val="both"/>
    </w:pPr>
    <w:rPr>
      <w:rFonts w:eastAsia="Times New Roman"/>
      <w:color w:val="000000"/>
      <w:sz w:val="20"/>
      <w:szCs w:val="20"/>
      <w:lang w:val="en-GB" w:eastAsia="en-US"/>
    </w:rPr>
  </w:style>
  <w:style w:type="character" w:customStyle="1" w:styleId="defintionChar">
    <w:name w:val="defintion Char"/>
    <w:basedOn w:val="Policepardfaut"/>
    <w:link w:val="defintion"/>
    <w:rsid w:val="004937D9"/>
    <w:rPr>
      <w:rFonts w:ascii="Calibri" w:eastAsia="Times New Roman" w:hAnsi="Calibri"/>
      <w:color w:val="000000"/>
      <w:lang w:val="en-GB" w:eastAsia="en-US"/>
    </w:rPr>
  </w:style>
  <w:style w:type="character" w:styleId="Emphaseple">
    <w:name w:val="Subtle Emphasis"/>
    <w:basedOn w:val="Policepardfaut"/>
    <w:uiPriority w:val="19"/>
    <w:qFormat/>
    <w:rsid w:val="00C432AF"/>
    <w:rPr>
      <w:rFonts w:asciiTheme="minorHAnsi" w:hAnsiTheme="minorHAnsi" w:cstheme="minorHAnsi"/>
      <w:iCs/>
      <w:color w:val="808080" w:themeColor="text1" w:themeTint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www.xbrl.org/specification/dimensions/rec-2012-01-25/dimensions-rec-2006-09-18+corrected-errata-2012-01-25-clean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acpr.banque-france.fr/solvabilite2/reporting.html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xbrl.org/Specification/XBRL-2.1/REC-2003-12-31/XBRL-2.1-REC-2003-12-31+corrected-errata-2013-02-20.htm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urfi-banque.banque-france.fr/uploads/tx_bdftechnicalinfos/SGACP-note-technique-2010-03-V1-08.pdf" TargetMode="External"/><Relationship Id="rId20" Type="http://schemas.openxmlformats.org/officeDocument/2006/relationships/hyperlink" Target="http://esurfi.banque-france.fr/banque/accuei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eiopa.europa.eu/regulation-supervision/insurance/reporting-format" TargetMode="External"/><Relationship Id="rId23" Type="http://schemas.openxmlformats.org/officeDocument/2006/relationships/hyperlink" Target="http://www.xbrl.org/2003/iso4217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xbrlfrance.org/les-formation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ba.europa.eu/regulation-and-policy/supervisory-reporting/implementing-technical-standard-on-supervisory-reporting-data-point-model-" TargetMode="External"/><Relationship Id="rId22" Type="http://schemas.openxmlformats.org/officeDocument/2006/relationships/hyperlink" Target="http://www.xbrl.org/2003/instance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02B9D3C4BA343B8B088D4D9AB32C9" ma:contentTypeVersion="2" ma:contentTypeDescription="Crée un document." ma:contentTypeScope="" ma:versionID="f4b520ddc52ab1016fa050a3583f9df2">
  <xsd:schema xmlns:xsd="http://www.w3.org/2001/XMLSchema" xmlns:xs="http://www.w3.org/2001/XMLSchema" xmlns:p="http://schemas.microsoft.com/office/2006/metadata/properties" xmlns:ns2="4f2be41e-1256-426f-a679-7fbbcf3c3dca" targetNamespace="http://schemas.microsoft.com/office/2006/metadata/properties" ma:root="true" ma:fieldsID="18896af9aa048ef18d1e700d5cccdcad" ns2:_="">
    <xsd:import namespace="4f2be41e-1256-426f-a679-7fbbcf3c3d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be41e-1256-426f-a679-7fbbcf3c3d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066B-8D48-4955-B887-8E3E6FC57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05709-80F0-4B5E-8535-7F6150A8F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be41e-1256-426f-a679-7fbbcf3c3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0DEFD-543F-4592-AE3C-296E96FF85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6FD31B-637D-44EE-8AC5-F8E417429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16D942-A389-4135-8F0D-B7DBA7E3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220438EF.dotm</Template>
  <TotalTime>1</TotalTime>
  <Pages>5</Pages>
  <Words>1473</Words>
  <Characters>8986</Characters>
  <Application>Microsoft Office Word</Application>
  <DocSecurity>0</DocSecurity>
  <Lines>191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Niveau 1</vt:lpstr>
    </vt:vector>
  </TitlesOfParts>
  <Company>Banque de France</Company>
  <LinksUpToDate>false</LinksUpToDate>
  <CharactersWithSpaces>10356</CharactersWithSpaces>
  <SharedDoc>false</SharedDoc>
  <HLinks>
    <vt:vector size="78" baseType="variant">
      <vt:variant>
        <vt:i4>4063278</vt:i4>
      </vt:variant>
      <vt:variant>
        <vt:i4>36</vt:i4>
      </vt:variant>
      <vt:variant>
        <vt:i4>0</vt:i4>
      </vt:variant>
      <vt:variant>
        <vt:i4>5</vt:i4>
      </vt:variant>
      <vt:variant>
        <vt:lpwstr>http://www.xbrl.org/utr/utr.xml</vt:lpwstr>
      </vt:variant>
      <vt:variant>
        <vt:lpwstr/>
      </vt:variant>
      <vt:variant>
        <vt:i4>4063270</vt:i4>
      </vt:variant>
      <vt:variant>
        <vt:i4>33</vt:i4>
      </vt:variant>
      <vt:variant>
        <vt:i4>0</vt:i4>
      </vt:variant>
      <vt:variant>
        <vt:i4>5</vt:i4>
      </vt:variant>
      <vt:variant>
        <vt:lpwstr>http://www.xbrl.org/RFC/PDU/PWD-2008-10-09/PDU-RFC-PWD-2008-10-09.html</vt:lpwstr>
      </vt:variant>
      <vt:variant>
        <vt:lpwstr/>
      </vt:variant>
      <vt:variant>
        <vt:i4>1310764</vt:i4>
      </vt:variant>
      <vt:variant>
        <vt:i4>30</vt:i4>
      </vt:variant>
      <vt:variant>
        <vt:i4>0</vt:i4>
      </vt:variant>
      <vt:variant>
        <vt:i4>5</vt:i4>
      </vt:variant>
      <vt:variant>
        <vt:lpwstr>http://www.xbrl.org/Specification/XBRL-RECOMMENDATION-2003-12-31+Corrected-Errata-2008-07-02.htm</vt:lpwstr>
      </vt:variant>
      <vt:variant>
        <vt:lpwstr>_4.6.7.2</vt:lpwstr>
      </vt:variant>
      <vt:variant>
        <vt:i4>3145833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http://en.wikipedia.org/wiki/Standard_Business_Reporting</vt:lpwstr>
      </vt:variant>
      <vt:variant>
        <vt:lpwstr/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http://www.sec.gov/info/edgar/edmanuals.htm</vt:lpwstr>
      </vt:variant>
      <vt:variant>
        <vt:lpwstr/>
      </vt:variant>
      <vt:variant>
        <vt:i4>2687027</vt:i4>
      </vt:variant>
      <vt:variant>
        <vt:i4>21</vt:i4>
      </vt:variant>
      <vt:variant>
        <vt:i4>0</vt:i4>
      </vt:variant>
      <vt:variant>
        <vt:i4>5</vt:i4>
      </vt:variant>
      <vt:variant>
        <vt:lpwstr>http://www.ifrs.org/xbrl/resources/Pages/global-filing-manual.aspx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http://cen.eurofiling.info/wp-content/upLoads/data/CWA_XBRL_WI001-4-E.pdf</vt:lpwstr>
      </vt:variant>
      <vt:variant>
        <vt:lpwstr/>
      </vt:variant>
      <vt:variant>
        <vt:i4>5308430</vt:i4>
      </vt:variant>
      <vt:variant>
        <vt:i4>15</vt:i4>
      </vt:variant>
      <vt:variant>
        <vt:i4>0</vt:i4>
      </vt:variant>
      <vt:variant>
        <vt:i4>5</vt:i4>
      </vt:variant>
      <vt:variant>
        <vt:lpwstr>http://www.wikixbrl.info/index.php?title=European_Filing_Rules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http://cen.eurofiling.info/</vt:lpwstr>
      </vt:variant>
      <vt:variant>
        <vt:lpwstr/>
      </vt:variant>
      <vt:variant>
        <vt:i4>4915286</vt:i4>
      </vt:variant>
      <vt:variant>
        <vt:i4>9</vt:i4>
      </vt:variant>
      <vt:variant>
        <vt:i4>0</vt:i4>
      </vt:variant>
      <vt:variant>
        <vt:i4>5</vt:i4>
      </vt:variant>
      <vt:variant>
        <vt:lpwstr>http://acpr.banque-france.fr/solvabilite2/reporting.html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http://esurfi.banque-france.fr/banque/accueil/</vt:lpwstr>
      </vt:variant>
      <vt:variant>
        <vt:lpwstr/>
      </vt:variant>
      <vt:variant>
        <vt:i4>1310786</vt:i4>
      </vt:variant>
      <vt:variant>
        <vt:i4>3</vt:i4>
      </vt:variant>
      <vt:variant>
        <vt:i4>0</vt:i4>
      </vt:variant>
      <vt:variant>
        <vt:i4>5</vt:i4>
      </vt:variant>
      <vt:variant>
        <vt:lpwstr>http://www.xbrlfrance.org/les-formations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http://www.eba.europa.eu/documents/10180/502670/EBA+XBRL+Filing+Rules+for+v2.0.0.pdf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 1</dc:title>
  <dc:creator>Sylvie</dc:creator>
  <cp:lastModifiedBy>Eric JARRY</cp:lastModifiedBy>
  <cp:revision>4</cp:revision>
  <cp:lastPrinted>2014-07-28T08:26:00Z</cp:lastPrinted>
  <dcterms:created xsi:type="dcterms:W3CDTF">2016-04-21T15:38:00Z</dcterms:created>
  <dcterms:modified xsi:type="dcterms:W3CDTF">2016-04-21T15:38:00Z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0x0101003E602B9D3C4BA343B8B088D4D9AB32C9</vt:lpwstr>
  </property>
</Properties>
</file>