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B0" w:rsidRDefault="0078526B" w:rsidP="008F3EC2">
      <w:pPr>
        <w:jc w:val="center"/>
        <w:rPr>
          <w:rFonts w:ascii="Arial" w:hAnsi="Arial" w:cs="Arial"/>
          <w:b/>
          <w:sz w:val="32"/>
          <w:szCs w:val="32"/>
        </w:rPr>
      </w:pPr>
      <w:r w:rsidRPr="008F3EC2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-263525</wp:posOffset>
            </wp:positionV>
            <wp:extent cx="1323975" cy="1181100"/>
            <wp:effectExtent l="19050" t="0" r="9525" b="0"/>
            <wp:wrapNone/>
            <wp:docPr id="2" name="Image 2" descr="logoACPR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CPR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EB0" w:rsidRDefault="007C0EB0" w:rsidP="008F3EC2">
      <w:pPr>
        <w:jc w:val="center"/>
        <w:rPr>
          <w:rFonts w:ascii="Arial" w:hAnsi="Arial" w:cs="Arial"/>
          <w:b/>
          <w:sz w:val="32"/>
          <w:szCs w:val="32"/>
        </w:rPr>
      </w:pPr>
    </w:p>
    <w:p w:rsidR="007C0EB0" w:rsidRDefault="007C0EB0" w:rsidP="008F3EC2">
      <w:pPr>
        <w:jc w:val="center"/>
        <w:rPr>
          <w:rFonts w:ascii="Arial" w:hAnsi="Arial" w:cs="Arial"/>
          <w:b/>
          <w:sz w:val="32"/>
          <w:szCs w:val="32"/>
        </w:rPr>
      </w:pPr>
    </w:p>
    <w:p w:rsidR="00AE4AC9" w:rsidRPr="008F3EC2" w:rsidRDefault="00DA5DB8" w:rsidP="008F3EC2">
      <w:pPr>
        <w:jc w:val="center"/>
        <w:rPr>
          <w:rFonts w:ascii="Arial" w:hAnsi="Arial" w:cs="Arial"/>
          <w:b/>
          <w:sz w:val="32"/>
          <w:szCs w:val="32"/>
        </w:rPr>
      </w:pPr>
      <w:r w:rsidRPr="008F3EC2">
        <w:rPr>
          <w:rFonts w:ascii="Arial" w:hAnsi="Arial" w:cs="Arial"/>
          <w:b/>
          <w:sz w:val="32"/>
          <w:szCs w:val="32"/>
        </w:rPr>
        <w:t xml:space="preserve"> </w:t>
      </w:r>
    </w:p>
    <w:p w:rsid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180CCE" w:rsidRDefault="00180CCE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56"/>
          <w:szCs w:val="5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48"/>
          <w:szCs w:val="48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48"/>
          <w:szCs w:val="48"/>
          <w:lang w:eastAsia="fr-FR"/>
        </w:rPr>
        <w:t>Reporting SOLVA2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Notice méthodologique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 xml:space="preserve">Déclaration des </w:t>
      </w:r>
      <w:r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instances XBRL : préfixe des namespaces</w:t>
      </w:r>
    </w:p>
    <w:p w:rsidR="007C0EB0" w:rsidRPr="007C0EB0" w:rsidRDefault="007C0EB0" w:rsidP="007C0EB0">
      <w:pPr>
        <w:spacing w:before="0" w:after="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</w:pPr>
      <w:r w:rsidRPr="007C0EB0">
        <w:rPr>
          <w:rFonts w:ascii="Arial" w:eastAsia="Times New Roman" w:hAnsi="Arial" w:cs="Arial"/>
          <w:b/>
          <w:bCs/>
          <w:noProof/>
          <w:sz w:val="36"/>
          <w:szCs w:val="36"/>
          <w:lang w:eastAsia="fr-FR"/>
        </w:rPr>
        <w:t>__________________________</w:t>
      </w:r>
    </w:p>
    <w:p w:rsidR="007C0EB0" w:rsidRPr="007C0EB0" w:rsidRDefault="007C0EB0" w:rsidP="007C0EB0">
      <w:pPr>
        <w:spacing w:before="340" w:after="0" w:line="440" w:lineRule="exact"/>
        <w:jc w:val="center"/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</w:pPr>
      <w:r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Mai</w:t>
      </w:r>
      <w:r w:rsidRPr="007C0EB0"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201</w:t>
      </w:r>
      <w:r>
        <w:rPr>
          <w:rFonts w:ascii="Arial" w:eastAsia="Times New Roman" w:hAnsi="Arial" w:cs="Arial"/>
          <w:spacing w:val="40"/>
          <w:position w:val="4"/>
          <w:sz w:val="26"/>
          <w:szCs w:val="26"/>
          <w:lang w:eastAsia="fr-FR"/>
        </w:rPr>
        <w:t>5</w:t>
      </w: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7C0EB0" w:rsidRPr="007C0EB0" w:rsidRDefault="007C0EB0" w:rsidP="007C0EB0">
      <w:pPr>
        <w:spacing w:before="0" w:after="0"/>
        <w:jc w:val="center"/>
        <w:rPr>
          <w:rFonts w:ascii="Univers" w:eastAsia="Times New Roman" w:hAnsi="Univers"/>
          <w:sz w:val="22"/>
          <w:szCs w:val="20"/>
          <w:lang w:eastAsia="fr-FR"/>
        </w:rPr>
      </w:pPr>
    </w:p>
    <w:p w:rsidR="00180CCE" w:rsidRDefault="00180CCE">
      <w:pPr>
        <w:spacing w:before="0" w:after="0"/>
        <w:rPr>
          <w:rFonts w:ascii="Univers" w:eastAsia="Times New Roman" w:hAnsi="Univers"/>
          <w:sz w:val="22"/>
          <w:szCs w:val="20"/>
          <w:lang w:eastAsia="fr-FR"/>
        </w:rPr>
      </w:pPr>
      <w:r>
        <w:rPr>
          <w:rFonts w:ascii="Univers" w:eastAsia="Times New Roman" w:hAnsi="Univers"/>
          <w:sz w:val="22"/>
          <w:szCs w:val="20"/>
          <w:lang w:eastAsia="fr-FR"/>
        </w:rPr>
        <w:br w:type="page"/>
      </w:r>
    </w:p>
    <w:p w:rsidR="00180CCE" w:rsidRPr="00180CCE" w:rsidRDefault="00180CCE" w:rsidP="00180CCE">
      <w:pPr>
        <w:spacing w:before="0" w:after="0"/>
        <w:jc w:val="both"/>
        <w:rPr>
          <w:rFonts w:ascii="Univers" w:eastAsia="Times New Roman" w:hAnsi="Univers"/>
          <w:sz w:val="20"/>
          <w:szCs w:val="20"/>
          <w:lang w:eastAsia="fr-FR"/>
        </w:rPr>
        <w:sectPr w:rsidR="00180CCE" w:rsidRPr="00180CCE" w:rsidSect="00B11EAC">
          <w:footerReference w:type="default" r:id="rId9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180CCE" w:rsidRPr="00180CCE" w:rsidRDefault="00180CCE" w:rsidP="00180CCE">
      <w:pPr>
        <w:keepNext/>
        <w:shd w:val="pct15" w:color="auto" w:fill="FFFFFF"/>
        <w:spacing w:before="480" w:after="120" w:line="280" w:lineRule="exact"/>
        <w:jc w:val="both"/>
        <w:outlineLvl w:val="0"/>
        <w:rPr>
          <w:rFonts w:ascii="Times New Roman" w:eastAsia="Times New Roman" w:hAnsi="Times New Roman"/>
          <w:b/>
          <w:sz w:val="32"/>
          <w:szCs w:val="20"/>
          <w:lang w:eastAsia="fr-FR"/>
        </w:rPr>
      </w:pPr>
      <w:r w:rsidRPr="00180CCE">
        <w:rPr>
          <w:rFonts w:ascii="Times New Roman" w:eastAsia="Times New Roman" w:hAnsi="Times New Roman"/>
          <w:b/>
          <w:sz w:val="32"/>
          <w:szCs w:val="20"/>
          <w:lang w:eastAsia="fr-FR"/>
        </w:rPr>
        <w:lastRenderedPageBreak/>
        <w:t>Notice méthodologique</w:t>
      </w:r>
    </w:p>
    <w:p w:rsidR="00180CCE" w:rsidRPr="00180CCE" w:rsidRDefault="00180CCE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0"/>
          <w:lang w:eastAsia="fr-FR"/>
        </w:rPr>
      </w:pPr>
    </w:p>
    <w:p w:rsidR="001C11D2" w:rsidRDefault="00180CCE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 w:rsidRPr="00180CCE">
        <w:rPr>
          <w:rFonts w:ascii="Times New Roman" w:eastAsia="Times New Roman" w:hAnsi="Times New Roman"/>
          <w:sz w:val="22"/>
          <w:szCs w:val="22"/>
          <w:lang w:eastAsia="fr-FR"/>
        </w:rPr>
        <w:t>L</w:t>
      </w:r>
      <w:r w:rsidR="001C11D2">
        <w:rPr>
          <w:rFonts w:ascii="Times New Roman" w:eastAsia="Times New Roman" w:hAnsi="Times New Roman"/>
          <w:sz w:val="22"/>
          <w:szCs w:val="22"/>
          <w:lang w:eastAsia="fr-FR"/>
        </w:rPr>
        <w:t xml:space="preserve">e traitement des instances XBRL quant à l’interprétation des valeurs de dimensions portées par des balises faisant référence à un </w:t>
      </w:r>
      <w:proofErr w:type="spellStart"/>
      <w:r w:rsidR="001C11D2">
        <w:rPr>
          <w:rFonts w:ascii="Times New Roman" w:eastAsia="Times New Roman" w:hAnsi="Times New Roman"/>
          <w:sz w:val="22"/>
          <w:szCs w:val="22"/>
          <w:lang w:eastAsia="fr-FR"/>
        </w:rPr>
        <w:t>namespace</w:t>
      </w:r>
      <w:proofErr w:type="spellEnd"/>
      <w:r w:rsidR="001C11D2">
        <w:rPr>
          <w:rFonts w:ascii="Times New Roman" w:eastAsia="Times New Roman" w:hAnsi="Times New Roman"/>
          <w:sz w:val="22"/>
          <w:szCs w:val="22"/>
          <w:lang w:eastAsia="fr-FR"/>
        </w:rPr>
        <w:t xml:space="preserve"> par défaut, n’est pas totalement satisfaisant dans le système d’information du SGACPR (i.e. application SURFI).</w:t>
      </w:r>
    </w:p>
    <w:p w:rsidR="001C11D2" w:rsidRDefault="001C11D2" w:rsidP="00180CCE">
      <w:pPr>
        <w:spacing w:before="0" w:after="0"/>
        <w:ind w:firstLine="284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/>
          <w:sz w:val="22"/>
          <w:szCs w:val="22"/>
          <w:lang w:eastAsia="fr-FR"/>
        </w:rPr>
        <w:t>Bien que les données soient intégrées en base, la génération des Comptes Rendus de Collecte peut ne pas être effectuée.</w:t>
      </w:r>
    </w:p>
    <w:p w:rsidR="00180CCE" w:rsidRPr="00180CCE" w:rsidRDefault="00180CCE" w:rsidP="00180CCE">
      <w:pPr>
        <w:spacing w:before="0" w:after="0"/>
        <w:ind w:firstLine="284"/>
        <w:jc w:val="both"/>
        <w:rPr>
          <w:rFonts w:ascii="Times New Roman" w:eastAsia="Times New Roman" w:hAnsi="Times New Roman"/>
          <w:bCs/>
          <w:sz w:val="22"/>
          <w:szCs w:val="22"/>
          <w:lang w:eastAsia="fr-FR"/>
        </w:rPr>
      </w:pPr>
      <w:r w:rsidRPr="00180CCE">
        <w:rPr>
          <w:rFonts w:ascii="Times New Roman" w:eastAsia="Times New Roman" w:hAnsi="Times New Roman"/>
          <w:bCs/>
          <w:sz w:val="22"/>
          <w:szCs w:val="22"/>
          <w:lang w:eastAsia="fr-FR"/>
        </w:rPr>
        <w:t xml:space="preserve"> </w:t>
      </w:r>
    </w:p>
    <w:p w:rsidR="001C11D2" w:rsidRDefault="001C11D2" w:rsidP="00180CCE">
      <w:pPr>
        <w:spacing w:before="0" w:after="0"/>
        <w:ind w:firstLine="284"/>
        <w:jc w:val="both"/>
        <w:rPr>
          <w:rFonts w:ascii="Times New Roman" w:eastAsia="Times New Roman" w:hAnsi="Times New Roman"/>
          <w:bCs/>
          <w:sz w:val="22"/>
          <w:szCs w:val="22"/>
          <w:lang w:eastAsia="fr-FR"/>
        </w:rPr>
      </w:pPr>
      <w:r>
        <w:rPr>
          <w:rFonts w:ascii="Times New Roman" w:eastAsia="Times New Roman" w:hAnsi="Times New Roman"/>
          <w:bCs/>
          <w:sz w:val="22"/>
          <w:szCs w:val="22"/>
          <w:lang w:eastAsia="fr-FR"/>
        </w:rPr>
        <w:t>Dans l’attente du déploiement d’un correctif et afin de permettre le traitement complet des remises réglementaires attendues pour le 3 juin, une solution de contournement est nécessaire.</w:t>
      </w:r>
    </w:p>
    <w:p w:rsidR="001C11D2" w:rsidRDefault="001C11D2" w:rsidP="00180CCE">
      <w:pPr>
        <w:spacing w:before="0" w:after="0"/>
        <w:ind w:firstLine="284"/>
        <w:jc w:val="both"/>
        <w:rPr>
          <w:rFonts w:ascii="Times New Roman" w:eastAsia="Times New Roman" w:hAnsi="Times New Roman"/>
          <w:bCs/>
          <w:sz w:val="22"/>
          <w:szCs w:val="22"/>
          <w:lang w:eastAsia="fr-FR"/>
        </w:rPr>
      </w:pPr>
    </w:p>
    <w:p w:rsidR="006E4A8E" w:rsidRPr="006E4A8E" w:rsidRDefault="001C11D2" w:rsidP="006E4A8E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  <w:lang w:eastAsia="fr-FR"/>
        </w:rPr>
        <w:t>Ainsi, les organismes doivent respecter le principe suivant dans les instances déclarées </w:t>
      </w:r>
      <w:r w:rsidRPr="006E4A8E">
        <w:rPr>
          <w:rFonts w:ascii="Times New Roman" w:eastAsia="Times New Roman" w:hAnsi="Times New Roman"/>
          <w:bCs/>
          <w:sz w:val="22"/>
          <w:szCs w:val="22"/>
          <w:lang w:eastAsia="fr-FR"/>
        </w:rPr>
        <w:t>:</w:t>
      </w:r>
      <w:r w:rsidR="006E4A8E" w:rsidRPr="006E4A8E">
        <w:rPr>
          <w:b/>
          <w:bCs/>
          <w:color w:val="1F497D"/>
          <w:sz w:val="22"/>
          <w:szCs w:val="22"/>
        </w:rPr>
        <w:t xml:space="preserve"> </w:t>
      </w:r>
      <w:r w:rsidR="006E4A8E" w:rsidRPr="006E4A8E">
        <w:rPr>
          <w:rFonts w:ascii="Times New Roman" w:hAnsi="Times New Roman"/>
          <w:b/>
          <w:bCs/>
          <w:sz w:val="22"/>
          <w:szCs w:val="22"/>
        </w:rPr>
        <w:t xml:space="preserve">les préfixes des </w:t>
      </w:r>
      <w:proofErr w:type="spellStart"/>
      <w:r w:rsidR="006E4A8E" w:rsidRPr="006E4A8E">
        <w:rPr>
          <w:rFonts w:ascii="Times New Roman" w:hAnsi="Times New Roman"/>
          <w:b/>
          <w:bCs/>
          <w:sz w:val="22"/>
          <w:szCs w:val="22"/>
        </w:rPr>
        <w:t>namespaces</w:t>
      </w:r>
      <w:proofErr w:type="spellEnd"/>
      <w:r w:rsidR="006E4A8E" w:rsidRPr="006E4A8E">
        <w:rPr>
          <w:rFonts w:ascii="Times New Roman" w:hAnsi="Times New Roman"/>
          <w:b/>
          <w:bCs/>
          <w:sz w:val="22"/>
          <w:szCs w:val="22"/>
        </w:rPr>
        <w:t xml:space="preserve"> doivent être définis pour les balises portant sur les valeurs de dimensions</w:t>
      </w:r>
      <w:r w:rsidR="006E4A8E" w:rsidRPr="006E4A8E">
        <w:rPr>
          <w:rFonts w:ascii="Times New Roman" w:hAnsi="Times New Roman"/>
          <w:sz w:val="22"/>
          <w:szCs w:val="22"/>
        </w:rPr>
        <w:t>.</w:t>
      </w:r>
    </w:p>
    <w:p w:rsidR="006E4A8E" w:rsidRDefault="006E4A8E" w:rsidP="006E4A8E">
      <w:pPr>
        <w:rPr>
          <w:color w:val="1F497D"/>
        </w:rPr>
      </w:pPr>
    </w:p>
    <w:p w:rsidR="006E4A8E" w:rsidRDefault="006E4A8E" w:rsidP="006E4A8E">
      <w:pPr>
        <w:rPr>
          <w:color w:val="1F497D"/>
        </w:rPr>
      </w:pPr>
    </w:p>
    <w:p w:rsidR="006E4A8E" w:rsidRPr="006E4A8E" w:rsidRDefault="006E4A8E" w:rsidP="006E4A8E">
      <w:pPr>
        <w:rPr>
          <w:rFonts w:ascii="Times New Roman" w:hAnsi="Times New Roman"/>
          <w:sz w:val="22"/>
          <w:szCs w:val="22"/>
        </w:rPr>
      </w:pPr>
      <w:r w:rsidRPr="006E4A8E">
        <w:rPr>
          <w:rFonts w:ascii="Times New Roman" w:hAnsi="Times New Roman"/>
          <w:sz w:val="22"/>
          <w:szCs w:val="22"/>
        </w:rPr>
        <w:t>Ci-dessous les exemples du cas non traité et celui du cas traité par SURFI</w:t>
      </w:r>
      <w:r w:rsidR="00B52C8F">
        <w:rPr>
          <w:rFonts w:ascii="Times New Roman" w:hAnsi="Times New Roman"/>
          <w:sz w:val="22"/>
          <w:szCs w:val="22"/>
        </w:rPr>
        <w:t> :</w:t>
      </w:r>
    </w:p>
    <w:p w:rsidR="006E4A8E" w:rsidRDefault="006E4A8E" w:rsidP="006E4A8E">
      <w:pPr>
        <w:rPr>
          <w:color w:val="1F497D"/>
        </w:rPr>
      </w:pPr>
    </w:p>
    <w:p w:rsidR="006E4A8E" w:rsidRPr="000B6A43" w:rsidRDefault="006E4A8E" w:rsidP="006E4A8E">
      <w:pPr>
        <w:rPr>
          <w:rFonts w:asciiTheme="minorHAnsi" w:hAnsiTheme="minorHAnsi" w:cstheme="minorHAnsi"/>
          <w:i/>
          <w:sz w:val="22"/>
          <w:szCs w:val="22"/>
        </w:rPr>
      </w:pPr>
      <w:r w:rsidRPr="000B6A4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Non traité par SURFI </w:t>
      </w:r>
      <w:r w:rsidRPr="000B6A43">
        <w:rPr>
          <w:rFonts w:asciiTheme="minorHAnsi" w:hAnsiTheme="minorHAnsi" w:cstheme="minorHAnsi"/>
          <w:i/>
          <w:sz w:val="22"/>
          <w:szCs w:val="22"/>
        </w:rPr>
        <w:t>:</w:t>
      </w: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</w:rPr>
      </w:pPr>
      <w:proofErr w:type="spellStart"/>
      <w:r w:rsidRPr="007D6BC8">
        <w:rPr>
          <w:rFonts w:ascii="Times New Roman" w:hAnsi="Times New Roman"/>
          <w:sz w:val="22"/>
          <w:szCs w:val="22"/>
        </w:rPr>
        <w:t>Namespace</w:t>
      </w:r>
      <w:proofErr w:type="spellEnd"/>
      <w:r w:rsidRPr="007D6BC8">
        <w:rPr>
          <w:rFonts w:ascii="Times New Roman" w:hAnsi="Times New Roman"/>
          <w:sz w:val="22"/>
          <w:szCs w:val="22"/>
        </w:rPr>
        <w:t xml:space="preserve"> par défaut défini pour les balises portant les valeurs de dimension : (</w:t>
      </w:r>
      <w:proofErr w:type="spellStart"/>
      <w:r w:rsidRPr="007D6BC8">
        <w:rPr>
          <w:rFonts w:ascii="Times New Roman" w:hAnsi="Times New Roman"/>
          <w:sz w:val="22"/>
          <w:szCs w:val="22"/>
        </w:rPr>
        <w:t>xmlns</w:t>
      </w:r>
      <w:proofErr w:type="spellEnd"/>
      <w:r w:rsidRPr="007D6BC8">
        <w:rPr>
          <w:rFonts w:ascii="Times New Roman" w:hAnsi="Times New Roman"/>
          <w:sz w:val="22"/>
          <w:szCs w:val="22"/>
        </w:rPr>
        <w:t>=http://eiopa.europa.eu/xbrl/s2c/dict/typ)</w:t>
      </w:r>
    </w:p>
    <w:p w:rsidR="006E4A8E" w:rsidRPr="007D6BC8" w:rsidRDefault="006E4A8E" w:rsidP="006E4A8E">
      <w:pPr>
        <w:rPr>
          <w:rFonts w:ascii="Times New Roman" w:hAnsi="Times New Roman"/>
          <w:sz w:val="22"/>
          <w:szCs w:val="22"/>
        </w:rPr>
      </w:pPr>
    </w:p>
    <w:p w:rsidR="006E4A8E" w:rsidRPr="007D6BC8" w:rsidRDefault="006E4A8E" w:rsidP="00EB7C3A">
      <w:pPr>
        <w:ind w:left="357" w:firstLine="709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b/>
          <w:bCs/>
          <w:sz w:val="22"/>
          <w:szCs w:val="22"/>
          <w:u w:val="single"/>
        </w:rPr>
        <w:t>Exemple</w:t>
      </w:r>
      <w:r w:rsidRPr="007D6BC8">
        <w:rPr>
          <w:rFonts w:ascii="Times New Roman" w:hAnsi="Times New Roman"/>
          <w:sz w:val="22"/>
          <w:szCs w:val="22"/>
        </w:rPr>
        <w:t> :</w:t>
      </w: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</w:rPr>
        <w:t>          &lt;</w:t>
      </w:r>
      <w:proofErr w:type="spellStart"/>
      <w:r w:rsidRPr="007D6BC8">
        <w:rPr>
          <w:rFonts w:ascii="Times New Roman" w:hAnsi="Times New Roman"/>
          <w:sz w:val="22"/>
          <w:szCs w:val="22"/>
        </w:rPr>
        <w:t>xbrldi:typedMember</w:t>
      </w:r>
      <w:proofErr w:type="spellEnd"/>
      <w:r w:rsidRPr="007D6BC8">
        <w:rPr>
          <w:rFonts w:ascii="Times New Roman" w:hAnsi="Times New Roman"/>
          <w:sz w:val="22"/>
          <w:szCs w:val="22"/>
        </w:rPr>
        <w:t xml:space="preserve"> dimension="s2c_dim:UI"&gt;</w:t>
      </w: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</w:rPr>
        <w:t>            &lt;</w:t>
      </w:r>
      <w:r w:rsidRPr="007D6BC8">
        <w:rPr>
          <w:rFonts w:ascii="Times New Roman" w:hAnsi="Times New Roman"/>
          <w:sz w:val="22"/>
          <w:szCs w:val="22"/>
          <w:highlight w:val="yellow"/>
        </w:rPr>
        <w:t>ID</w:t>
      </w:r>
      <w:r w:rsidRPr="007D6BC8">
        <w:rPr>
          <w:rFonts w:ascii="Times New Roman" w:hAnsi="Times New Roman"/>
          <w:sz w:val="22"/>
          <w:szCs w:val="22"/>
        </w:rPr>
        <w:t>&gt;ISIN/FR0000187635&lt;/</w:t>
      </w:r>
      <w:r w:rsidRPr="007D6BC8">
        <w:rPr>
          <w:rFonts w:ascii="Times New Roman" w:hAnsi="Times New Roman"/>
          <w:sz w:val="22"/>
          <w:szCs w:val="22"/>
          <w:highlight w:val="yellow"/>
        </w:rPr>
        <w:t>ID</w:t>
      </w:r>
      <w:r w:rsidRPr="007D6BC8">
        <w:rPr>
          <w:rFonts w:ascii="Times New Roman" w:hAnsi="Times New Roman"/>
          <w:sz w:val="22"/>
          <w:szCs w:val="22"/>
        </w:rPr>
        <w:t>&gt;</w:t>
      </w: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</w:rPr>
        <w:t>          &lt;/</w:t>
      </w:r>
      <w:proofErr w:type="spellStart"/>
      <w:proofErr w:type="gramStart"/>
      <w:r w:rsidRPr="007D6BC8">
        <w:rPr>
          <w:rFonts w:ascii="Times New Roman" w:hAnsi="Times New Roman"/>
          <w:sz w:val="22"/>
          <w:szCs w:val="22"/>
        </w:rPr>
        <w:t>xbrldi:</w:t>
      </w:r>
      <w:proofErr w:type="gramEnd"/>
      <w:r w:rsidRPr="007D6BC8">
        <w:rPr>
          <w:rFonts w:ascii="Times New Roman" w:hAnsi="Times New Roman"/>
          <w:sz w:val="22"/>
          <w:szCs w:val="22"/>
        </w:rPr>
        <w:t>typedMember</w:t>
      </w:r>
      <w:proofErr w:type="spellEnd"/>
      <w:r w:rsidRPr="007D6BC8">
        <w:rPr>
          <w:rFonts w:ascii="Times New Roman" w:hAnsi="Times New Roman"/>
          <w:sz w:val="22"/>
          <w:szCs w:val="22"/>
        </w:rPr>
        <w:t>&gt;</w:t>
      </w:r>
    </w:p>
    <w:p w:rsidR="006E4A8E" w:rsidRPr="007D6BC8" w:rsidRDefault="006E4A8E" w:rsidP="006E4A8E">
      <w:pPr>
        <w:rPr>
          <w:rFonts w:ascii="Times New Roman" w:hAnsi="Times New Roman"/>
          <w:sz w:val="22"/>
          <w:szCs w:val="22"/>
        </w:rPr>
      </w:pPr>
    </w:p>
    <w:p w:rsidR="006E4A8E" w:rsidRPr="007D6BC8" w:rsidRDefault="006E4A8E" w:rsidP="000B6A43">
      <w:pPr>
        <w:ind w:left="360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</w:rPr>
        <w:t xml:space="preserve">La balise &lt;ID&gt; portant la valeur de la dimension ne dispose pas de préfixe parce qu’elle fait référence à un </w:t>
      </w:r>
      <w:proofErr w:type="spellStart"/>
      <w:r w:rsidRPr="007D6BC8">
        <w:rPr>
          <w:rFonts w:ascii="Times New Roman" w:hAnsi="Times New Roman"/>
          <w:sz w:val="22"/>
          <w:szCs w:val="22"/>
        </w:rPr>
        <w:t>namespace</w:t>
      </w:r>
      <w:proofErr w:type="spellEnd"/>
      <w:r w:rsidRPr="007D6BC8">
        <w:rPr>
          <w:rFonts w:ascii="Times New Roman" w:hAnsi="Times New Roman"/>
          <w:sz w:val="22"/>
          <w:szCs w:val="22"/>
        </w:rPr>
        <w:t xml:space="preserve"> par défaut.</w:t>
      </w:r>
    </w:p>
    <w:p w:rsidR="006E4A8E" w:rsidRPr="007D6BC8" w:rsidRDefault="006E4A8E" w:rsidP="006E4A8E">
      <w:pPr>
        <w:rPr>
          <w:rFonts w:ascii="Times New Roman" w:hAnsi="Times New Roman"/>
        </w:rPr>
      </w:pPr>
    </w:p>
    <w:p w:rsidR="000B6A43" w:rsidRPr="006E4A8E" w:rsidRDefault="000B6A43" w:rsidP="006E4A8E"/>
    <w:p w:rsidR="006E4A8E" w:rsidRPr="007D6BC8" w:rsidRDefault="006E4A8E" w:rsidP="006E4A8E">
      <w:pPr>
        <w:rPr>
          <w:i/>
          <w:sz w:val="22"/>
          <w:szCs w:val="22"/>
        </w:rPr>
      </w:pPr>
      <w:r w:rsidRPr="007D6BC8">
        <w:rPr>
          <w:b/>
          <w:bCs/>
          <w:i/>
          <w:sz w:val="22"/>
          <w:szCs w:val="22"/>
          <w:u w:val="single"/>
        </w:rPr>
        <w:t>Traité par SURFI</w:t>
      </w:r>
      <w:r w:rsidRPr="007D6BC8">
        <w:rPr>
          <w:i/>
          <w:sz w:val="22"/>
          <w:szCs w:val="22"/>
        </w:rPr>
        <w:t> :</w:t>
      </w: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</w:rPr>
        <w:t xml:space="preserve">Préfixe de </w:t>
      </w:r>
      <w:proofErr w:type="spellStart"/>
      <w:r w:rsidRPr="007D6BC8">
        <w:rPr>
          <w:rFonts w:ascii="Times New Roman" w:hAnsi="Times New Roman"/>
          <w:sz w:val="22"/>
          <w:szCs w:val="22"/>
        </w:rPr>
        <w:t>namespace</w:t>
      </w:r>
      <w:proofErr w:type="spellEnd"/>
      <w:r w:rsidRPr="007D6BC8">
        <w:rPr>
          <w:rFonts w:ascii="Times New Roman" w:hAnsi="Times New Roman"/>
          <w:sz w:val="22"/>
          <w:szCs w:val="22"/>
        </w:rPr>
        <w:t xml:space="preserve"> défini pour les balises portant les valeurs de dimension : (xmlns</w:t>
      </w:r>
      <w:r w:rsidRPr="007D6BC8">
        <w:rPr>
          <w:rFonts w:ascii="Times New Roman" w:hAnsi="Times New Roman"/>
          <w:sz w:val="22"/>
          <w:szCs w:val="22"/>
          <w:highlight w:val="yellow"/>
        </w:rPr>
        <w:t>:s2c_typ</w:t>
      </w:r>
      <w:r w:rsidRPr="007D6BC8">
        <w:rPr>
          <w:rFonts w:ascii="Times New Roman" w:hAnsi="Times New Roman"/>
          <w:sz w:val="22"/>
          <w:szCs w:val="22"/>
        </w:rPr>
        <w:t>="</w:t>
      </w:r>
      <w:hyperlink r:id="rId10" w:history="1">
        <w:r w:rsidRPr="007D6BC8">
          <w:rPr>
            <w:rStyle w:val="Lienhypertexte"/>
            <w:rFonts w:ascii="Times New Roman" w:hAnsi="Times New Roman"/>
            <w:color w:val="auto"/>
            <w:sz w:val="22"/>
            <w:szCs w:val="22"/>
          </w:rPr>
          <w:t>http://eiopa.europa.eu/xbrl/s2c/dict/typ</w:t>
        </w:r>
      </w:hyperlink>
      <w:r w:rsidRPr="007D6BC8">
        <w:rPr>
          <w:rFonts w:ascii="Times New Roman" w:hAnsi="Times New Roman"/>
          <w:sz w:val="22"/>
          <w:szCs w:val="22"/>
        </w:rPr>
        <w:t>")</w:t>
      </w:r>
    </w:p>
    <w:p w:rsidR="000B6A43" w:rsidRPr="007D6BC8" w:rsidRDefault="000B6A43" w:rsidP="000B6A43">
      <w:pPr>
        <w:ind w:left="360"/>
        <w:rPr>
          <w:rFonts w:ascii="Times New Roman" w:hAnsi="Times New Roman"/>
          <w:sz w:val="22"/>
          <w:szCs w:val="22"/>
        </w:rPr>
      </w:pPr>
    </w:p>
    <w:p w:rsidR="006E4A8E" w:rsidRPr="007D6BC8" w:rsidRDefault="006E4A8E" w:rsidP="00EB7C3A">
      <w:pPr>
        <w:ind w:left="357" w:firstLine="709"/>
        <w:rPr>
          <w:rFonts w:ascii="Times New Roman" w:hAnsi="Times New Roman"/>
          <w:sz w:val="22"/>
          <w:szCs w:val="22"/>
          <w:lang w:val="en-US"/>
        </w:rPr>
      </w:pPr>
      <w:proofErr w:type="spellStart"/>
      <w:proofErr w:type="gramStart"/>
      <w:r w:rsidRPr="007D6BC8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Exemple</w:t>
      </w:r>
      <w:proofErr w:type="spellEnd"/>
      <w:r w:rsidRPr="007D6BC8">
        <w:rPr>
          <w:rFonts w:ascii="Times New Roman" w:hAnsi="Times New Roman"/>
          <w:sz w:val="22"/>
          <w:szCs w:val="22"/>
          <w:lang w:val="en-US"/>
        </w:rPr>
        <w:t> :</w:t>
      </w:r>
      <w:proofErr w:type="gramEnd"/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  <w:lang w:val="en-US"/>
        </w:rPr>
      </w:pPr>
      <w:r w:rsidRPr="007D6BC8">
        <w:rPr>
          <w:rFonts w:ascii="Times New Roman" w:hAnsi="Times New Roman"/>
          <w:sz w:val="22"/>
          <w:szCs w:val="22"/>
          <w:lang w:val="en-US"/>
        </w:rPr>
        <w:t>          &lt;</w:t>
      </w:r>
      <w:proofErr w:type="spellStart"/>
      <w:r w:rsidRPr="007D6BC8">
        <w:rPr>
          <w:rFonts w:ascii="Times New Roman" w:hAnsi="Times New Roman"/>
          <w:sz w:val="22"/>
          <w:szCs w:val="22"/>
          <w:lang w:val="en-US"/>
        </w:rPr>
        <w:t>xbrldi</w:t>
      </w:r>
      <w:proofErr w:type="gramStart"/>
      <w:r w:rsidRPr="007D6BC8">
        <w:rPr>
          <w:rFonts w:ascii="Times New Roman" w:hAnsi="Times New Roman"/>
          <w:sz w:val="22"/>
          <w:szCs w:val="22"/>
          <w:lang w:val="en-US"/>
        </w:rPr>
        <w:t>:typedMember</w:t>
      </w:r>
      <w:proofErr w:type="spellEnd"/>
      <w:proofErr w:type="gramEnd"/>
      <w:r w:rsidRPr="007D6BC8">
        <w:rPr>
          <w:rFonts w:ascii="Times New Roman" w:hAnsi="Times New Roman"/>
          <w:sz w:val="22"/>
          <w:szCs w:val="22"/>
          <w:lang w:val="en-US"/>
        </w:rPr>
        <w:t xml:space="preserve"> dimension="s2c_dim:UI"&gt;</w:t>
      </w: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  <w:lang w:val="en-US"/>
        </w:rPr>
      </w:pPr>
      <w:r w:rsidRPr="007D6BC8">
        <w:rPr>
          <w:rFonts w:ascii="Times New Roman" w:hAnsi="Times New Roman"/>
          <w:sz w:val="22"/>
          <w:szCs w:val="22"/>
          <w:lang w:val="en-US"/>
        </w:rPr>
        <w:t>            &lt;</w:t>
      </w:r>
      <w:r w:rsidRPr="007D6BC8">
        <w:rPr>
          <w:rFonts w:ascii="Times New Roman" w:hAnsi="Times New Roman"/>
          <w:sz w:val="22"/>
          <w:szCs w:val="22"/>
          <w:highlight w:val="yellow"/>
          <w:lang w:val="en-US"/>
        </w:rPr>
        <w:t xml:space="preserve"> s2c_typ</w:t>
      </w:r>
      <w:proofErr w:type="gramStart"/>
      <w:r w:rsidRPr="007D6BC8">
        <w:rPr>
          <w:rFonts w:ascii="Times New Roman" w:hAnsi="Times New Roman"/>
          <w:sz w:val="22"/>
          <w:szCs w:val="22"/>
          <w:highlight w:val="yellow"/>
          <w:lang w:val="en-US"/>
        </w:rPr>
        <w:t>:</w:t>
      </w:r>
      <w:r w:rsidRPr="007D6BC8">
        <w:rPr>
          <w:rFonts w:ascii="Times New Roman" w:hAnsi="Times New Roman"/>
          <w:sz w:val="22"/>
          <w:szCs w:val="22"/>
          <w:lang w:val="en-US"/>
        </w:rPr>
        <w:t>ID</w:t>
      </w:r>
      <w:proofErr w:type="gramEnd"/>
      <w:r w:rsidRPr="007D6BC8">
        <w:rPr>
          <w:rFonts w:ascii="Times New Roman" w:hAnsi="Times New Roman"/>
          <w:sz w:val="22"/>
          <w:szCs w:val="22"/>
          <w:lang w:val="en-US"/>
        </w:rPr>
        <w:t>&gt;ISIN/FR0000187635&lt;/</w:t>
      </w:r>
      <w:r w:rsidRPr="007D6BC8">
        <w:rPr>
          <w:rFonts w:ascii="Times New Roman" w:hAnsi="Times New Roman"/>
          <w:sz w:val="22"/>
          <w:szCs w:val="22"/>
          <w:highlight w:val="yellow"/>
          <w:lang w:val="en-US"/>
        </w:rPr>
        <w:t xml:space="preserve"> s2c_typ:</w:t>
      </w:r>
      <w:r w:rsidRPr="007D6BC8">
        <w:rPr>
          <w:rFonts w:ascii="Times New Roman" w:hAnsi="Times New Roman"/>
          <w:sz w:val="22"/>
          <w:szCs w:val="22"/>
          <w:lang w:val="en-US"/>
        </w:rPr>
        <w:t>ID&gt;</w:t>
      </w:r>
    </w:p>
    <w:p w:rsidR="006E4A8E" w:rsidRPr="007D6BC8" w:rsidRDefault="006E4A8E" w:rsidP="00EB7C3A">
      <w:pPr>
        <w:ind w:left="357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  <w:lang w:val="en-US"/>
        </w:rPr>
        <w:t xml:space="preserve">          </w:t>
      </w:r>
      <w:r w:rsidRPr="007D6BC8">
        <w:rPr>
          <w:rFonts w:ascii="Times New Roman" w:hAnsi="Times New Roman"/>
          <w:sz w:val="22"/>
          <w:szCs w:val="22"/>
        </w:rPr>
        <w:t>&lt;/</w:t>
      </w:r>
      <w:proofErr w:type="spellStart"/>
      <w:proofErr w:type="gramStart"/>
      <w:r w:rsidRPr="007D6BC8">
        <w:rPr>
          <w:rFonts w:ascii="Times New Roman" w:hAnsi="Times New Roman"/>
          <w:sz w:val="22"/>
          <w:szCs w:val="22"/>
        </w:rPr>
        <w:t>xbrldi:</w:t>
      </w:r>
      <w:proofErr w:type="gramEnd"/>
      <w:r w:rsidRPr="007D6BC8">
        <w:rPr>
          <w:rFonts w:ascii="Times New Roman" w:hAnsi="Times New Roman"/>
          <w:sz w:val="22"/>
          <w:szCs w:val="22"/>
        </w:rPr>
        <w:t>typedMember</w:t>
      </w:r>
      <w:proofErr w:type="spellEnd"/>
      <w:r w:rsidRPr="007D6BC8">
        <w:rPr>
          <w:rFonts w:ascii="Times New Roman" w:hAnsi="Times New Roman"/>
          <w:sz w:val="22"/>
          <w:szCs w:val="22"/>
        </w:rPr>
        <w:t>&gt;</w:t>
      </w:r>
    </w:p>
    <w:p w:rsidR="006E4A8E" w:rsidRPr="007D6BC8" w:rsidRDefault="006E4A8E" w:rsidP="006E4A8E">
      <w:pPr>
        <w:rPr>
          <w:rFonts w:ascii="Times New Roman" w:hAnsi="Times New Roman"/>
          <w:sz w:val="22"/>
          <w:szCs w:val="22"/>
        </w:rPr>
      </w:pPr>
    </w:p>
    <w:p w:rsidR="007C0EB0" w:rsidRPr="007C0EB0" w:rsidRDefault="006E4A8E" w:rsidP="00CB2CCF">
      <w:pPr>
        <w:ind w:left="360"/>
        <w:rPr>
          <w:rFonts w:ascii="Times New Roman" w:hAnsi="Times New Roman"/>
          <w:sz w:val="22"/>
          <w:szCs w:val="22"/>
        </w:rPr>
      </w:pPr>
      <w:r w:rsidRPr="007D6BC8">
        <w:rPr>
          <w:rFonts w:ascii="Times New Roman" w:hAnsi="Times New Roman"/>
          <w:sz w:val="22"/>
          <w:szCs w:val="22"/>
        </w:rPr>
        <w:t xml:space="preserve">Le préfixe « s2c_typ » de </w:t>
      </w:r>
      <w:proofErr w:type="spellStart"/>
      <w:r w:rsidRPr="007D6BC8">
        <w:rPr>
          <w:rFonts w:ascii="Times New Roman" w:hAnsi="Times New Roman"/>
          <w:sz w:val="22"/>
          <w:szCs w:val="22"/>
        </w:rPr>
        <w:t>namespace</w:t>
      </w:r>
      <w:proofErr w:type="spellEnd"/>
      <w:r w:rsidRPr="007D6BC8">
        <w:rPr>
          <w:rFonts w:ascii="Times New Roman" w:hAnsi="Times New Roman"/>
          <w:sz w:val="22"/>
          <w:szCs w:val="22"/>
        </w:rPr>
        <w:t xml:space="preserve"> a été défini pour la balise &lt;ID&gt; portant la valeur de la dimension</w:t>
      </w:r>
      <w:r w:rsidR="004F71B4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7C0EB0" w:rsidRPr="007C0EB0" w:rsidRDefault="007C0EB0" w:rsidP="007C0EB0">
      <w:pPr>
        <w:spacing w:before="0" w:after="0"/>
        <w:jc w:val="center"/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7C0EB0" w:rsidRPr="000B6A43" w:rsidRDefault="007C0EB0" w:rsidP="00DA5DB8">
      <w:pPr>
        <w:jc w:val="center"/>
        <w:rPr>
          <w:b/>
          <w:sz w:val="22"/>
          <w:szCs w:val="22"/>
        </w:rPr>
      </w:pPr>
    </w:p>
    <w:sectPr w:rsidR="007C0EB0" w:rsidRPr="000B6A43" w:rsidSect="00DA2B05">
      <w:headerReference w:type="even" r:id="rId11"/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7A" w:rsidRDefault="0034197A">
      <w:r>
        <w:separator/>
      </w:r>
    </w:p>
  </w:endnote>
  <w:endnote w:type="continuationSeparator" w:id="0">
    <w:p w:rsidR="0034197A" w:rsidRDefault="0034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CE" w:rsidRDefault="00180CCE" w:rsidP="005A43DE">
    <w:pPr>
      <w:pStyle w:val="Pieddepage"/>
    </w:pPr>
  </w:p>
  <w:p w:rsidR="00180CCE" w:rsidRDefault="00180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2C728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47ED" w:rsidRDefault="00D54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7A" w:rsidRDefault="0034197A">
      <w:r>
        <w:separator/>
      </w:r>
    </w:p>
  </w:footnote>
  <w:footnote w:type="continuationSeparator" w:id="0">
    <w:p w:rsidR="0034197A" w:rsidRDefault="0034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2C728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47ED" w:rsidRDefault="00D547ED" w:rsidP="00A04D1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D" w:rsidRDefault="00D547ED" w:rsidP="0007122E">
    <w:pPr>
      <w:pStyle w:val="En-tte"/>
      <w:tabs>
        <w:tab w:val="clear" w:pos="9072"/>
      </w:tabs>
      <w:ind w:left="-630" w:right="-558"/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1DE"/>
    <w:multiLevelType w:val="hybridMultilevel"/>
    <w:tmpl w:val="556EF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29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81066C"/>
    <w:multiLevelType w:val="hybridMultilevel"/>
    <w:tmpl w:val="625E28EE"/>
    <w:lvl w:ilvl="0" w:tplc="68587776">
      <w:start w:val="1"/>
      <w:numFmt w:val="bullet"/>
      <w:lvlText w:val="-"/>
      <w:lvlJc w:val="left"/>
      <w:pPr>
        <w:ind w:left="16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A736A73"/>
    <w:multiLevelType w:val="hybridMultilevel"/>
    <w:tmpl w:val="D3004B18"/>
    <w:lvl w:ilvl="0" w:tplc="AD24F43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0282D"/>
    <w:multiLevelType w:val="hybridMultilevel"/>
    <w:tmpl w:val="0F8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44F3"/>
    <w:multiLevelType w:val="hybridMultilevel"/>
    <w:tmpl w:val="256CF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157E0"/>
    <w:multiLevelType w:val="hybridMultilevel"/>
    <w:tmpl w:val="E34A21B8"/>
    <w:lvl w:ilvl="0" w:tplc="191CA56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2"/>
    <w:rsid w:val="0000132E"/>
    <w:rsid w:val="00002E1C"/>
    <w:rsid w:val="00005DCC"/>
    <w:rsid w:val="00021188"/>
    <w:rsid w:val="00021FD7"/>
    <w:rsid w:val="0002730D"/>
    <w:rsid w:val="0002763A"/>
    <w:rsid w:val="0003606A"/>
    <w:rsid w:val="00036D74"/>
    <w:rsid w:val="000408C7"/>
    <w:rsid w:val="00041A4D"/>
    <w:rsid w:val="00046B9D"/>
    <w:rsid w:val="00055247"/>
    <w:rsid w:val="00061EF2"/>
    <w:rsid w:val="00062BF9"/>
    <w:rsid w:val="00070D26"/>
    <w:rsid w:val="0007122E"/>
    <w:rsid w:val="00071576"/>
    <w:rsid w:val="00074F22"/>
    <w:rsid w:val="000825FB"/>
    <w:rsid w:val="00085782"/>
    <w:rsid w:val="00090195"/>
    <w:rsid w:val="0009172D"/>
    <w:rsid w:val="00093A7D"/>
    <w:rsid w:val="000958BC"/>
    <w:rsid w:val="000978E0"/>
    <w:rsid w:val="000A4000"/>
    <w:rsid w:val="000B4816"/>
    <w:rsid w:val="000B6A43"/>
    <w:rsid w:val="000B6E7A"/>
    <w:rsid w:val="000C6D70"/>
    <w:rsid w:val="000C7E16"/>
    <w:rsid w:val="000F2ECE"/>
    <w:rsid w:val="00104504"/>
    <w:rsid w:val="00114CD6"/>
    <w:rsid w:val="001240FC"/>
    <w:rsid w:val="001309CF"/>
    <w:rsid w:val="00135E2F"/>
    <w:rsid w:val="0014398F"/>
    <w:rsid w:val="00143A6C"/>
    <w:rsid w:val="001509D7"/>
    <w:rsid w:val="0016518B"/>
    <w:rsid w:val="0017001E"/>
    <w:rsid w:val="00170477"/>
    <w:rsid w:val="001721C7"/>
    <w:rsid w:val="0017773F"/>
    <w:rsid w:val="00180CCE"/>
    <w:rsid w:val="00190AD7"/>
    <w:rsid w:val="001918EF"/>
    <w:rsid w:val="001A385E"/>
    <w:rsid w:val="001B28F2"/>
    <w:rsid w:val="001B5E04"/>
    <w:rsid w:val="001C11D2"/>
    <w:rsid w:val="001C1358"/>
    <w:rsid w:val="001C29D2"/>
    <w:rsid w:val="001C3B96"/>
    <w:rsid w:val="001E5A71"/>
    <w:rsid w:val="001F0BE7"/>
    <w:rsid w:val="001F6E0A"/>
    <w:rsid w:val="00202639"/>
    <w:rsid w:val="0021166A"/>
    <w:rsid w:val="002129A1"/>
    <w:rsid w:val="00214C1D"/>
    <w:rsid w:val="00215795"/>
    <w:rsid w:val="00215F4E"/>
    <w:rsid w:val="00216242"/>
    <w:rsid w:val="0022015F"/>
    <w:rsid w:val="00232A68"/>
    <w:rsid w:val="00237AF1"/>
    <w:rsid w:val="002742A3"/>
    <w:rsid w:val="0028415A"/>
    <w:rsid w:val="00294EF1"/>
    <w:rsid w:val="002A206D"/>
    <w:rsid w:val="002B3BB6"/>
    <w:rsid w:val="002C2195"/>
    <w:rsid w:val="002C2FDD"/>
    <w:rsid w:val="002C4B97"/>
    <w:rsid w:val="002C7282"/>
    <w:rsid w:val="002C78DB"/>
    <w:rsid w:val="002D38FF"/>
    <w:rsid w:val="002E6C99"/>
    <w:rsid w:val="002F07BF"/>
    <w:rsid w:val="002F28CA"/>
    <w:rsid w:val="003176D2"/>
    <w:rsid w:val="003326AE"/>
    <w:rsid w:val="0033556B"/>
    <w:rsid w:val="003403BF"/>
    <w:rsid w:val="00340B45"/>
    <w:rsid w:val="0034197A"/>
    <w:rsid w:val="003611D8"/>
    <w:rsid w:val="00373967"/>
    <w:rsid w:val="00393693"/>
    <w:rsid w:val="003A6DC6"/>
    <w:rsid w:val="003C5F99"/>
    <w:rsid w:val="003D0D5C"/>
    <w:rsid w:val="003D38D2"/>
    <w:rsid w:val="003D68C8"/>
    <w:rsid w:val="003E22DC"/>
    <w:rsid w:val="00400819"/>
    <w:rsid w:val="004109AC"/>
    <w:rsid w:val="0043717C"/>
    <w:rsid w:val="00441B23"/>
    <w:rsid w:val="004640EB"/>
    <w:rsid w:val="0046687B"/>
    <w:rsid w:val="00472726"/>
    <w:rsid w:val="004755DF"/>
    <w:rsid w:val="00481A21"/>
    <w:rsid w:val="00486C42"/>
    <w:rsid w:val="004877E2"/>
    <w:rsid w:val="00492B99"/>
    <w:rsid w:val="0049519E"/>
    <w:rsid w:val="004973F4"/>
    <w:rsid w:val="004B3964"/>
    <w:rsid w:val="004E3FCE"/>
    <w:rsid w:val="004E5175"/>
    <w:rsid w:val="004F0D90"/>
    <w:rsid w:val="004F71B4"/>
    <w:rsid w:val="004F724B"/>
    <w:rsid w:val="004F7D4D"/>
    <w:rsid w:val="00503319"/>
    <w:rsid w:val="00503E1E"/>
    <w:rsid w:val="005240C9"/>
    <w:rsid w:val="005507B4"/>
    <w:rsid w:val="00554FDF"/>
    <w:rsid w:val="0058346D"/>
    <w:rsid w:val="0059525C"/>
    <w:rsid w:val="00597C71"/>
    <w:rsid w:val="005A2C80"/>
    <w:rsid w:val="005B1007"/>
    <w:rsid w:val="005D3C05"/>
    <w:rsid w:val="005E11A2"/>
    <w:rsid w:val="005E4B45"/>
    <w:rsid w:val="00607186"/>
    <w:rsid w:val="006123FE"/>
    <w:rsid w:val="006165E3"/>
    <w:rsid w:val="006169F7"/>
    <w:rsid w:val="00637752"/>
    <w:rsid w:val="00652475"/>
    <w:rsid w:val="00661437"/>
    <w:rsid w:val="0067241C"/>
    <w:rsid w:val="00683ACE"/>
    <w:rsid w:val="006930AE"/>
    <w:rsid w:val="00695EB6"/>
    <w:rsid w:val="006B07B3"/>
    <w:rsid w:val="006C0DD0"/>
    <w:rsid w:val="006E20CD"/>
    <w:rsid w:val="006E4A8E"/>
    <w:rsid w:val="006F2611"/>
    <w:rsid w:val="006F7CF6"/>
    <w:rsid w:val="007050E6"/>
    <w:rsid w:val="007169FF"/>
    <w:rsid w:val="00737BAB"/>
    <w:rsid w:val="007420DF"/>
    <w:rsid w:val="007444BC"/>
    <w:rsid w:val="00754DD1"/>
    <w:rsid w:val="00757206"/>
    <w:rsid w:val="00765C11"/>
    <w:rsid w:val="00766CCA"/>
    <w:rsid w:val="00777CC0"/>
    <w:rsid w:val="0078079B"/>
    <w:rsid w:val="00783BD4"/>
    <w:rsid w:val="0078526B"/>
    <w:rsid w:val="00791707"/>
    <w:rsid w:val="00796BEC"/>
    <w:rsid w:val="007A76D2"/>
    <w:rsid w:val="007B1DB7"/>
    <w:rsid w:val="007C0EB0"/>
    <w:rsid w:val="007C6A6D"/>
    <w:rsid w:val="007D15B4"/>
    <w:rsid w:val="007D6760"/>
    <w:rsid w:val="007D6BC8"/>
    <w:rsid w:val="007E56A3"/>
    <w:rsid w:val="008127EA"/>
    <w:rsid w:val="00812C1E"/>
    <w:rsid w:val="00815330"/>
    <w:rsid w:val="0082664B"/>
    <w:rsid w:val="008420EC"/>
    <w:rsid w:val="008465A9"/>
    <w:rsid w:val="00847ED2"/>
    <w:rsid w:val="00853F68"/>
    <w:rsid w:val="00855F0A"/>
    <w:rsid w:val="00874FAC"/>
    <w:rsid w:val="00886092"/>
    <w:rsid w:val="0088659F"/>
    <w:rsid w:val="00894AD0"/>
    <w:rsid w:val="008952A5"/>
    <w:rsid w:val="008A1B80"/>
    <w:rsid w:val="008A340C"/>
    <w:rsid w:val="008C2151"/>
    <w:rsid w:val="008C4FF1"/>
    <w:rsid w:val="008D49B2"/>
    <w:rsid w:val="008D706E"/>
    <w:rsid w:val="008F0F2E"/>
    <w:rsid w:val="008F3EC2"/>
    <w:rsid w:val="008F3F9C"/>
    <w:rsid w:val="00922A35"/>
    <w:rsid w:val="00931CB6"/>
    <w:rsid w:val="0095063F"/>
    <w:rsid w:val="009545E8"/>
    <w:rsid w:val="00961EAA"/>
    <w:rsid w:val="0096758B"/>
    <w:rsid w:val="00967851"/>
    <w:rsid w:val="0097089E"/>
    <w:rsid w:val="00970F8D"/>
    <w:rsid w:val="00981F56"/>
    <w:rsid w:val="009B339C"/>
    <w:rsid w:val="009B74E8"/>
    <w:rsid w:val="009B7970"/>
    <w:rsid w:val="009C304C"/>
    <w:rsid w:val="009C6825"/>
    <w:rsid w:val="009E5B6D"/>
    <w:rsid w:val="009F7AD6"/>
    <w:rsid w:val="00A04D1D"/>
    <w:rsid w:val="00A04F27"/>
    <w:rsid w:val="00A3190B"/>
    <w:rsid w:val="00A46350"/>
    <w:rsid w:val="00A47F7D"/>
    <w:rsid w:val="00A54988"/>
    <w:rsid w:val="00A6112A"/>
    <w:rsid w:val="00A632CC"/>
    <w:rsid w:val="00A63B9D"/>
    <w:rsid w:val="00A66193"/>
    <w:rsid w:val="00A704E5"/>
    <w:rsid w:val="00A71F58"/>
    <w:rsid w:val="00A746B9"/>
    <w:rsid w:val="00A76402"/>
    <w:rsid w:val="00AA1F76"/>
    <w:rsid w:val="00AB1AA9"/>
    <w:rsid w:val="00AD28F6"/>
    <w:rsid w:val="00AE2DB0"/>
    <w:rsid w:val="00AE4AC9"/>
    <w:rsid w:val="00AF247B"/>
    <w:rsid w:val="00AF2EB7"/>
    <w:rsid w:val="00B024C6"/>
    <w:rsid w:val="00B0463B"/>
    <w:rsid w:val="00B10905"/>
    <w:rsid w:val="00B1266B"/>
    <w:rsid w:val="00B14812"/>
    <w:rsid w:val="00B16B50"/>
    <w:rsid w:val="00B2478A"/>
    <w:rsid w:val="00B24CA4"/>
    <w:rsid w:val="00B52C8F"/>
    <w:rsid w:val="00B803E5"/>
    <w:rsid w:val="00B81478"/>
    <w:rsid w:val="00B816C0"/>
    <w:rsid w:val="00BA4CD7"/>
    <w:rsid w:val="00BB4B42"/>
    <w:rsid w:val="00BC1B66"/>
    <w:rsid w:val="00BD1969"/>
    <w:rsid w:val="00BE5383"/>
    <w:rsid w:val="00BF3D94"/>
    <w:rsid w:val="00BF5AE3"/>
    <w:rsid w:val="00C00B4D"/>
    <w:rsid w:val="00C02EE7"/>
    <w:rsid w:val="00C07D78"/>
    <w:rsid w:val="00C11EFE"/>
    <w:rsid w:val="00C137CE"/>
    <w:rsid w:val="00C16115"/>
    <w:rsid w:val="00C278C9"/>
    <w:rsid w:val="00C329DB"/>
    <w:rsid w:val="00C42465"/>
    <w:rsid w:val="00C424EF"/>
    <w:rsid w:val="00C43A2A"/>
    <w:rsid w:val="00C52214"/>
    <w:rsid w:val="00C53CF3"/>
    <w:rsid w:val="00C57C6D"/>
    <w:rsid w:val="00C633A7"/>
    <w:rsid w:val="00C81840"/>
    <w:rsid w:val="00C93EFB"/>
    <w:rsid w:val="00C95975"/>
    <w:rsid w:val="00CA3674"/>
    <w:rsid w:val="00CA52D6"/>
    <w:rsid w:val="00CB23F6"/>
    <w:rsid w:val="00CB2CCF"/>
    <w:rsid w:val="00CC1689"/>
    <w:rsid w:val="00CC4292"/>
    <w:rsid w:val="00CD49B6"/>
    <w:rsid w:val="00CE049F"/>
    <w:rsid w:val="00CF4973"/>
    <w:rsid w:val="00D00477"/>
    <w:rsid w:val="00D17D5E"/>
    <w:rsid w:val="00D547ED"/>
    <w:rsid w:val="00D612F7"/>
    <w:rsid w:val="00D855F4"/>
    <w:rsid w:val="00D858CF"/>
    <w:rsid w:val="00D92816"/>
    <w:rsid w:val="00D93798"/>
    <w:rsid w:val="00D94A9B"/>
    <w:rsid w:val="00DA2B05"/>
    <w:rsid w:val="00DA4C19"/>
    <w:rsid w:val="00DA5DB8"/>
    <w:rsid w:val="00DC39C0"/>
    <w:rsid w:val="00DC5C32"/>
    <w:rsid w:val="00DD2C24"/>
    <w:rsid w:val="00E3429E"/>
    <w:rsid w:val="00E4048C"/>
    <w:rsid w:val="00E409B9"/>
    <w:rsid w:val="00E622AC"/>
    <w:rsid w:val="00E629ED"/>
    <w:rsid w:val="00E70A4F"/>
    <w:rsid w:val="00E766BA"/>
    <w:rsid w:val="00E90297"/>
    <w:rsid w:val="00EA2940"/>
    <w:rsid w:val="00EB7C3A"/>
    <w:rsid w:val="00EC6EB3"/>
    <w:rsid w:val="00EE1A32"/>
    <w:rsid w:val="00EE6AC1"/>
    <w:rsid w:val="00F062E3"/>
    <w:rsid w:val="00F10D4B"/>
    <w:rsid w:val="00F11978"/>
    <w:rsid w:val="00F61368"/>
    <w:rsid w:val="00F93E30"/>
    <w:rsid w:val="00FA10A7"/>
    <w:rsid w:val="00FB2358"/>
    <w:rsid w:val="00FB316C"/>
    <w:rsid w:val="00FE0D0E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B6"/>
    <w:pPr>
      <w:spacing w:before="60" w:after="60"/>
    </w:pPr>
    <w:rPr>
      <w:rFonts w:ascii="Calibri" w:hAnsi="Calibri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D0047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190B"/>
    <w:rPr>
      <w:color w:val="0000FF"/>
      <w:u w:val="single"/>
    </w:rPr>
  </w:style>
  <w:style w:type="paragraph" w:styleId="Notedebasdepage">
    <w:name w:val="footnote text"/>
    <w:basedOn w:val="Normal"/>
    <w:semiHidden/>
    <w:rsid w:val="00AA1F76"/>
    <w:rPr>
      <w:sz w:val="20"/>
      <w:szCs w:val="20"/>
    </w:rPr>
  </w:style>
  <w:style w:type="character" w:styleId="Appelnotedebasdep">
    <w:name w:val="footnote reference"/>
    <w:basedOn w:val="Policepardfaut"/>
    <w:semiHidden/>
    <w:rsid w:val="00AA1F76"/>
    <w:rPr>
      <w:vertAlign w:val="superscript"/>
    </w:rPr>
  </w:style>
  <w:style w:type="paragraph" w:styleId="En-tte">
    <w:name w:val="header"/>
    <w:basedOn w:val="Normal"/>
    <w:rsid w:val="00A04D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D1D"/>
  </w:style>
  <w:style w:type="paragraph" w:styleId="Pieddepage">
    <w:name w:val="footer"/>
    <w:basedOn w:val="Normal"/>
    <w:rsid w:val="00A04D1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7C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Grilledutableau">
    <w:name w:val="Table Grid"/>
    <w:basedOn w:val="TableauNormal"/>
    <w:rsid w:val="008D4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1240FC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1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2E"/>
    <w:rPr>
      <w:rFonts w:ascii="Tahoma" w:hAnsi="Tahoma" w:cs="Tahoma"/>
      <w:sz w:val="16"/>
      <w:szCs w:val="16"/>
      <w:lang w:val="fr-FR" w:eastAsia="ja-JP"/>
    </w:rPr>
  </w:style>
  <w:style w:type="character" w:styleId="Marquedecommentaire">
    <w:name w:val="annotation reference"/>
    <w:basedOn w:val="Policepardfaut"/>
    <w:rsid w:val="005D3C0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3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3C05"/>
    <w:rPr>
      <w:rFonts w:ascii="Calibri" w:hAnsi="Calibri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D3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3C05"/>
    <w:rPr>
      <w:rFonts w:ascii="Calibri" w:hAnsi="Calibri"/>
      <w:b/>
      <w:bCs/>
      <w:lang w:val="fr-FR" w:eastAsia="ja-JP"/>
    </w:rPr>
  </w:style>
  <w:style w:type="paragraph" w:styleId="TM1">
    <w:name w:val="toc 1"/>
    <w:basedOn w:val="Normal"/>
    <w:next w:val="Normal"/>
    <w:autoRedefine/>
    <w:uiPriority w:val="39"/>
    <w:rsid w:val="008F3EC2"/>
    <w:pPr>
      <w:tabs>
        <w:tab w:val="right" w:leader="dot" w:pos="9072"/>
      </w:tabs>
      <w:spacing w:before="240" w:after="120"/>
      <w:jc w:val="both"/>
    </w:pPr>
    <w:rPr>
      <w:rFonts w:ascii="Arial" w:eastAsia="Times New Roman" w:hAnsi="Arial"/>
      <w:b/>
      <w:bCs/>
      <w:color w:val="4F81BD"/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B6"/>
    <w:pPr>
      <w:spacing w:before="60" w:after="60"/>
    </w:pPr>
    <w:rPr>
      <w:rFonts w:ascii="Calibri" w:hAnsi="Calibri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D0047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190B"/>
    <w:rPr>
      <w:color w:val="0000FF"/>
      <w:u w:val="single"/>
    </w:rPr>
  </w:style>
  <w:style w:type="paragraph" w:styleId="Notedebasdepage">
    <w:name w:val="footnote text"/>
    <w:basedOn w:val="Normal"/>
    <w:semiHidden/>
    <w:rsid w:val="00AA1F76"/>
    <w:rPr>
      <w:sz w:val="20"/>
      <w:szCs w:val="20"/>
    </w:rPr>
  </w:style>
  <w:style w:type="character" w:styleId="Appelnotedebasdep">
    <w:name w:val="footnote reference"/>
    <w:basedOn w:val="Policepardfaut"/>
    <w:semiHidden/>
    <w:rsid w:val="00AA1F76"/>
    <w:rPr>
      <w:vertAlign w:val="superscript"/>
    </w:rPr>
  </w:style>
  <w:style w:type="paragraph" w:styleId="En-tte">
    <w:name w:val="header"/>
    <w:basedOn w:val="Normal"/>
    <w:rsid w:val="00A04D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D1D"/>
  </w:style>
  <w:style w:type="paragraph" w:styleId="Pieddepage">
    <w:name w:val="footer"/>
    <w:basedOn w:val="Normal"/>
    <w:rsid w:val="00A04D1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7C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Grilledutableau">
    <w:name w:val="Table Grid"/>
    <w:basedOn w:val="TableauNormal"/>
    <w:rsid w:val="008D4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1240FC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1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2E"/>
    <w:rPr>
      <w:rFonts w:ascii="Tahoma" w:hAnsi="Tahoma" w:cs="Tahoma"/>
      <w:sz w:val="16"/>
      <w:szCs w:val="16"/>
      <w:lang w:val="fr-FR" w:eastAsia="ja-JP"/>
    </w:rPr>
  </w:style>
  <w:style w:type="character" w:styleId="Marquedecommentaire">
    <w:name w:val="annotation reference"/>
    <w:basedOn w:val="Policepardfaut"/>
    <w:rsid w:val="005D3C0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3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3C05"/>
    <w:rPr>
      <w:rFonts w:ascii="Calibri" w:hAnsi="Calibri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D3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3C05"/>
    <w:rPr>
      <w:rFonts w:ascii="Calibri" w:hAnsi="Calibri"/>
      <w:b/>
      <w:bCs/>
      <w:lang w:val="fr-FR" w:eastAsia="ja-JP"/>
    </w:rPr>
  </w:style>
  <w:style w:type="paragraph" w:styleId="TM1">
    <w:name w:val="toc 1"/>
    <w:basedOn w:val="Normal"/>
    <w:next w:val="Normal"/>
    <w:autoRedefine/>
    <w:uiPriority w:val="39"/>
    <w:rsid w:val="008F3EC2"/>
    <w:pPr>
      <w:tabs>
        <w:tab w:val="right" w:leader="dot" w:pos="9072"/>
      </w:tabs>
      <w:spacing w:before="240" w:after="120"/>
      <w:jc w:val="both"/>
    </w:pPr>
    <w:rPr>
      <w:rFonts w:ascii="Arial" w:eastAsia="Times New Roman" w:hAnsi="Arial"/>
      <w:b/>
      <w:bCs/>
      <w:color w:val="4F81BD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iopa.europa.eu/xbrl/s2c/dict/ty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E7BB198E.dotm</Template>
  <TotalTime>24</TotalTime>
  <Pages>2</Pages>
  <Words>239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 1</vt:lpstr>
    </vt:vector>
  </TitlesOfParts>
  <Company>Banque de France</Company>
  <LinksUpToDate>false</LinksUpToDate>
  <CharactersWithSpaces>1965</CharactersWithSpaces>
  <SharedDoc>false</SharedDoc>
  <HLinks>
    <vt:vector size="78" baseType="variant">
      <vt:variant>
        <vt:i4>4063278</vt:i4>
      </vt:variant>
      <vt:variant>
        <vt:i4>36</vt:i4>
      </vt:variant>
      <vt:variant>
        <vt:i4>0</vt:i4>
      </vt:variant>
      <vt:variant>
        <vt:i4>5</vt:i4>
      </vt:variant>
      <vt:variant>
        <vt:lpwstr>http://www.xbrl.org/utr/utr.xml</vt:lpwstr>
      </vt:variant>
      <vt:variant>
        <vt:lpwstr/>
      </vt:variant>
      <vt:variant>
        <vt:i4>4063270</vt:i4>
      </vt:variant>
      <vt:variant>
        <vt:i4>33</vt:i4>
      </vt:variant>
      <vt:variant>
        <vt:i4>0</vt:i4>
      </vt:variant>
      <vt:variant>
        <vt:i4>5</vt:i4>
      </vt:variant>
      <vt:variant>
        <vt:lpwstr>http://www.xbrl.org/RFC/PDU/PWD-2008-10-09/PDU-RFC-PWD-2008-10-09.html</vt:lpwstr>
      </vt:variant>
      <vt:variant>
        <vt:lpwstr/>
      </vt:variant>
      <vt:variant>
        <vt:i4>1310764</vt:i4>
      </vt:variant>
      <vt:variant>
        <vt:i4>30</vt:i4>
      </vt:variant>
      <vt:variant>
        <vt:i4>0</vt:i4>
      </vt:variant>
      <vt:variant>
        <vt:i4>5</vt:i4>
      </vt:variant>
      <vt:variant>
        <vt:lpwstr>http://www.xbrl.org/Specification/XBRL-RECOMMENDATION-2003-12-31+Corrected-Errata-2008-07-02.htm</vt:lpwstr>
      </vt:variant>
      <vt:variant>
        <vt:lpwstr>_4.6.7.2</vt:lpwstr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http://en.wikipedia.org/wiki/Standard_Business_Reporting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http://www.sec.gov/info/edgar/edmanuals.htm</vt:lpwstr>
      </vt:variant>
      <vt:variant>
        <vt:lpwstr/>
      </vt:variant>
      <vt:variant>
        <vt:i4>2687027</vt:i4>
      </vt:variant>
      <vt:variant>
        <vt:i4>21</vt:i4>
      </vt:variant>
      <vt:variant>
        <vt:i4>0</vt:i4>
      </vt:variant>
      <vt:variant>
        <vt:i4>5</vt:i4>
      </vt:variant>
      <vt:variant>
        <vt:lpwstr>http://www.ifrs.org/xbrl/resources/Pages/global-filing-manual.aspx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http://cen.eurofiling.info/wp-content/upLoads/data/CWA_XBRL_WI001-4-E.pdf</vt:lpwstr>
      </vt:variant>
      <vt:variant>
        <vt:lpwstr/>
      </vt:variant>
      <vt:variant>
        <vt:i4>5308430</vt:i4>
      </vt:variant>
      <vt:variant>
        <vt:i4>15</vt:i4>
      </vt:variant>
      <vt:variant>
        <vt:i4>0</vt:i4>
      </vt:variant>
      <vt:variant>
        <vt:i4>5</vt:i4>
      </vt:variant>
      <vt:variant>
        <vt:lpwstr>http://www.wikixbrl.info/index.php?title=European_Filing_Rules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http://cen.eurofiling.info/</vt:lpwstr>
      </vt:variant>
      <vt:variant>
        <vt:lpwstr/>
      </vt:variant>
      <vt:variant>
        <vt:i4>4915286</vt:i4>
      </vt:variant>
      <vt:variant>
        <vt:i4>9</vt:i4>
      </vt:variant>
      <vt:variant>
        <vt:i4>0</vt:i4>
      </vt:variant>
      <vt:variant>
        <vt:i4>5</vt:i4>
      </vt:variant>
      <vt:variant>
        <vt:lpwstr>http://acpr.banque-france.fr/solvabilite2/reporting.html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http://esurfi.banque-france.fr/banque/accueil/</vt:lpwstr>
      </vt:variant>
      <vt:variant>
        <vt:lpwstr/>
      </vt:variant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http://www.xbrlfrance.org/les-formations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http://www.eba.europa.eu/documents/10180/502670/EBA+XBRL+Filing+Rules+for+v2.0.0.pdf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1</dc:title>
  <dc:creator>Sylvie</dc:creator>
  <cp:lastModifiedBy>Joëlle LIGER</cp:lastModifiedBy>
  <cp:revision>15</cp:revision>
  <cp:lastPrinted>2014-07-28T08:26:00Z</cp:lastPrinted>
  <dcterms:created xsi:type="dcterms:W3CDTF">2015-05-12T11:03:00Z</dcterms:created>
  <dcterms:modified xsi:type="dcterms:W3CDTF">2015-05-13T07:39:00Z</dcterms:modified>
</cp:coreProperties>
</file>